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5A4FF" w14:textId="77777777" w:rsidR="004D7A50" w:rsidRDefault="004D7A50" w:rsidP="002C6A14">
      <w:pPr>
        <w:spacing w:line="480" w:lineRule="auto"/>
        <w:jc w:val="both"/>
        <w:rPr>
          <w:rFonts w:ascii="Times New Roman" w:hAnsi="Times New Roman" w:cs="Times New Roman"/>
          <w:b/>
          <w:bCs/>
          <w:sz w:val="24"/>
          <w:szCs w:val="24"/>
        </w:rPr>
      </w:pPr>
    </w:p>
    <w:p w14:paraId="79AD4851" w14:textId="77777777" w:rsidR="004D7A50" w:rsidRDefault="004D7A50" w:rsidP="002C6A14">
      <w:pPr>
        <w:spacing w:line="480" w:lineRule="auto"/>
        <w:jc w:val="both"/>
        <w:rPr>
          <w:rFonts w:ascii="Times New Roman" w:hAnsi="Times New Roman" w:cs="Times New Roman"/>
          <w:b/>
          <w:bCs/>
          <w:sz w:val="24"/>
          <w:szCs w:val="24"/>
        </w:rPr>
      </w:pPr>
    </w:p>
    <w:p w14:paraId="5A6F76AF" w14:textId="77777777" w:rsidR="004D7A50" w:rsidRDefault="004D7A50" w:rsidP="002C6A14">
      <w:pPr>
        <w:spacing w:line="480" w:lineRule="auto"/>
        <w:jc w:val="both"/>
        <w:rPr>
          <w:rFonts w:ascii="Times New Roman" w:hAnsi="Times New Roman" w:cs="Times New Roman"/>
          <w:b/>
          <w:bCs/>
          <w:sz w:val="24"/>
          <w:szCs w:val="24"/>
        </w:rPr>
      </w:pPr>
    </w:p>
    <w:p w14:paraId="1D09C6EE" w14:textId="77777777" w:rsidR="004D7A50" w:rsidRDefault="004D7A50" w:rsidP="002C6A14">
      <w:pPr>
        <w:spacing w:line="480" w:lineRule="auto"/>
        <w:jc w:val="both"/>
        <w:rPr>
          <w:rFonts w:ascii="Times New Roman" w:hAnsi="Times New Roman" w:cs="Times New Roman"/>
          <w:b/>
          <w:bCs/>
          <w:sz w:val="24"/>
          <w:szCs w:val="24"/>
        </w:rPr>
      </w:pPr>
    </w:p>
    <w:p w14:paraId="63C9AF82" w14:textId="77777777" w:rsidR="00BE3D1E" w:rsidRPr="00BE3D1E" w:rsidRDefault="00BE3D1E" w:rsidP="00BE3D1E">
      <w:pPr>
        <w:spacing w:line="480" w:lineRule="auto"/>
        <w:jc w:val="center"/>
        <w:rPr>
          <w:rFonts w:ascii="Times New Roman" w:hAnsi="Times New Roman" w:cs="Times New Roman"/>
          <w:b/>
          <w:bCs/>
          <w:sz w:val="36"/>
          <w:szCs w:val="36"/>
        </w:rPr>
      </w:pPr>
      <w:r w:rsidRPr="00BE3D1E">
        <w:rPr>
          <w:rFonts w:ascii="Times New Roman" w:hAnsi="Times New Roman" w:cs="Times New Roman"/>
          <w:b/>
          <w:bCs/>
          <w:sz w:val="36"/>
          <w:szCs w:val="36"/>
        </w:rPr>
        <w:t>Preference and Perception of Farmers on Organic Fertilizers and Manures in the Pollachi Region</w:t>
      </w:r>
    </w:p>
    <w:p w14:paraId="09E8D854" w14:textId="77777777" w:rsidR="004D7A50" w:rsidRDefault="004D7A50" w:rsidP="002C6A14">
      <w:pPr>
        <w:spacing w:line="480" w:lineRule="auto"/>
        <w:jc w:val="both"/>
        <w:rPr>
          <w:rFonts w:ascii="Times New Roman" w:hAnsi="Times New Roman" w:cs="Times New Roman"/>
          <w:b/>
          <w:bCs/>
          <w:sz w:val="24"/>
          <w:szCs w:val="24"/>
        </w:rPr>
      </w:pPr>
    </w:p>
    <w:p w14:paraId="0B87BEB1" w14:textId="77777777" w:rsidR="004D7A50" w:rsidRDefault="004D7A50" w:rsidP="002C6A14">
      <w:pPr>
        <w:spacing w:line="480" w:lineRule="auto"/>
        <w:jc w:val="both"/>
        <w:rPr>
          <w:rFonts w:ascii="Times New Roman" w:hAnsi="Times New Roman" w:cs="Times New Roman"/>
          <w:b/>
          <w:bCs/>
          <w:sz w:val="24"/>
          <w:szCs w:val="24"/>
        </w:rPr>
      </w:pPr>
    </w:p>
    <w:p w14:paraId="506D15F7" w14:textId="77777777" w:rsidR="004D7A50" w:rsidRDefault="004D7A50" w:rsidP="002C6A14">
      <w:pPr>
        <w:spacing w:line="480" w:lineRule="auto"/>
        <w:jc w:val="both"/>
        <w:rPr>
          <w:rFonts w:ascii="Times New Roman" w:hAnsi="Times New Roman" w:cs="Times New Roman"/>
          <w:b/>
          <w:bCs/>
          <w:sz w:val="24"/>
          <w:szCs w:val="24"/>
        </w:rPr>
      </w:pPr>
    </w:p>
    <w:p w14:paraId="3ECF5AB5" w14:textId="77777777" w:rsidR="004D7A50" w:rsidRDefault="004D7A50" w:rsidP="002C6A14">
      <w:pPr>
        <w:spacing w:line="480" w:lineRule="auto"/>
        <w:jc w:val="both"/>
        <w:rPr>
          <w:rFonts w:ascii="Times New Roman" w:hAnsi="Times New Roman" w:cs="Times New Roman"/>
          <w:b/>
          <w:bCs/>
          <w:sz w:val="24"/>
          <w:szCs w:val="24"/>
        </w:rPr>
      </w:pPr>
    </w:p>
    <w:p w14:paraId="7440737E" w14:textId="77777777" w:rsidR="004D7A50" w:rsidRDefault="004D7A50" w:rsidP="002C6A14">
      <w:pPr>
        <w:spacing w:line="480" w:lineRule="auto"/>
        <w:jc w:val="both"/>
        <w:rPr>
          <w:rFonts w:ascii="Times New Roman" w:hAnsi="Times New Roman" w:cs="Times New Roman"/>
          <w:b/>
          <w:bCs/>
          <w:sz w:val="24"/>
          <w:szCs w:val="24"/>
        </w:rPr>
      </w:pPr>
    </w:p>
    <w:p w14:paraId="55DCFC89" w14:textId="77777777" w:rsidR="004D7A50" w:rsidRDefault="004D7A50" w:rsidP="002C6A14">
      <w:pPr>
        <w:spacing w:line="480" w:lineRule="auto"/>
        <w:jc w:val="both"/>
        <w:rPr>
          <w:rFonts w:ascii="Times New Roman" w:hAnsi="Times New Roman" w:cs="Times New Roman"/>
          <w:b/>
          <w:bCs/>
          <w:sz w:val="24"/>
          <w:szCs w:val="24"/>
        </w:rPr>
      </w:pPr>
    </w:p>
    <w:p w14:paraId="0334BD70" w14:textId="77777777" w:rsidR="004D7A50" w:rsidRDefault="004D7A50" w:rsidP="002C6A14">
      <w:pPr>
        <w:spacing w:line="480" w:lineRule="auto"/>
        <w:jc w:val="both"/>
        <w:rPr>
          <w:rFonts w:ascii="Times New Roman" w:hAnsi="Times New Roman" w:cs="Times New Roman"/>
          <w:b/>
          <w:bCs/>
          <w:sz w:val="24"/>
          <w:szCs w:val="24"/>
        </w:rPr>
      </w:pPr>
    </w:p>
    <w:p w14:paraId="4B4AF7A2" w14:textId="77777777" w:rsidR="004D7A50" w:rsidRDefault="004D7A50" w:rsidP="002C6A14">
      <w:pPr>
        <w:spacing w:line="480" w:lineRule="auto"/>
        <w:jc w:val="both"/>
        <w:rPr>
          <w:rFonts w:ascii="Times New Roman" w:hAnsi="Times New Roman" w:cs="Times New Roman"/>
          <w:b/>
          <w:bCs/>
          <w:sz w:val="24"/>
          <w:szCs w:val="24"/>
        </w:rPr>
      </w:pPr>
    </w:p>
    <w:p w14:paraId="378FBE83" w14:textId="77777777" w:rsidR="004D7A50" w:rsidRDefault="004D7A50" w:rsidP="002C6A14">
      <w:pPr>
        <w:spacing w:line="480" w:lineRule="auto"/>
        <w:jc w:val="both"/>
        <w:rPr>
          <w:rFonts w:ascii="Times New Roman" w:hAnsi="Times New Roman" w:cs="Times New Roman"/>
          <w:b/>
          <w:bCs/>
          <w:sz w:val="24"/>
          <w:szCs w:val="24"/>
        </w:rPr>
      </w:pPr>
    </w:p>
    <w:p w14:paraId="46A7C927" w14:textId="77777777" w:rsidR="004D7A50" w:rsidRDefault="004D7A50" w:rsidP="002C6A14">
      <w:pPr>
        <w:spacing w:line="480" w:lineRule="auto"/>
        <w:jc w:val="both"/>
        <w:rPr>
          <w:rFonts w:ascii="Times New Roman" w:hAnsi="Times New Roman" w:cs="Times New Roman"/>
          <w:b/>
          <w:bCs/>
          <w:sz w:val="24"/>
          <w:szCs w:val="24"/>
        </w:rPr>
      </w:pPr>
    </w:p>
    <w:p w14:paraId="0959C2E6" w14:textId="77777777" w:rsidR="004D7A50" w:rsidRDefault="004D7A50" w:rsidP="002C6A14">
      <w:pPr>
        <w:spacing w:line="480" w:lineRule="auto"/>
        <w:jc w:val="both"/>
        <w:rPr>
          <w:rFonts w:ascii="Times New Roman" w:hAnsi="Times New Roman" w:cs="Times New Roman"/>
          <w:b/>
          <w:bCs/>
          <w:sz w:val="24"/>
          <w:szCs w:val="24"/>
        </w:rPr>
      </w:pPr>
    </w:p>
    <w:p w14:paraId="123DB4F7" w14:textId="77777777" w:rsidR="009B139D" w:rsidRDefault="009B139D" w:rsidP="002C6A14">
      <w:pPr>
        <w:spacing w:line="480" w:lineRule="auto"/>
        <w:jc w:val="both"/>
        <w:rPr>
          <w:rFonts w:ascii="Times New Roman" w:hAnsi="Times New Roman" w:cs="Times New Roman"/>
          <w:b/>
          <w:bCs/>
          <w:sz w:val="24"/>
          <w:szCs w:val="24"/>
        </w:rPr>
      </w:pPr>
    </w:p>
    <w:p w14:paraId="39BF8725" w14:textId="3D481AEC" w:rsidR="002C6A14" w:rsidRPr="002C6A14" w:rsidRDefault="002C6A14" w:rsidP="002C6A14">
      <w:pPr>
        <w:spacing w:line="480" w:lineRule="auto"/>
        <w:jc w:val="both"/>
        <w:rPr>
          <w:rFonts w:ascii="Times New Roman" w:hAnsi="Times New Roman" w:cs="Times New Roman"/>
          <w:sz w:val="24"/>
          <w:szCs w:val="24"/>
        </w:rPr>
      </w:pPr>
      <w:r w:rsidRPr="002C6A14">
        <w:rPr>
          <w:rFonts w:ascii="Times New Roman" w:hAnsi="Times New Roman" w:cs="Times New Roman"/>
          <w:b/>
          <w:bCs/>
          <w:sz w:val="24"/>
          <w:szCs w:val="24"/>
        </w:rPr>
        <w:lastRenderedPageBreak/>
        <w:t>Abstract:</w:t>
      </w:r>
      <w:r w:rsidRPr="002C6A14">
        <w:rPr>
          <w:rFonts w:ascii="Times New Roman" w:hAnsi="Times New Roman" w:cs="Times New Roman"/>
          <w:sz w:val="24"/>
          <w:szCs w:val="24"/>
        </w:rPr>
        <w:br/>
        <w:t>This study investigates farmers’ perceptions, preferences, and constraints regarding organic fertilizers and manures in the Pollachi region of Tamil Nadu, India. A survey of 60 randomly selected farmers was conducted during a Farmer Producer Organization meeting in May 2023. Data on socio-economic characteristics, farm details, fertilizer usage, and perceived benefits and challenges of organic inputs were collected through structured interviews. Analysis revealed that the majority of respondents were older farmers (50 years and above) with moderate family sizes and middle-income levels. Most farmers were literate, engaged exclusively in farming, and cultivated marginal holdings, primarily garden and wet lands. While inorganic fertilizers were widely used, all respondents expressed a preference for organic fertilizers, with a strong inclination toward bulky manures. Farmers identified multiple benefits of organic inputs, including soil fertility enhancement, avoidance of chemicals, support for soil microbes, and cost-effectiveness. However, significant challenges were reported, particularly the non-availability of organic manures, the need for large quantities, dependence on off-farm resources, and initial yield losses. The study highlights the need for region-specific interventions, such as improving supply chains, promoting awareness programs, and providing technical support, to enhance the adoption of organic fertilizers and support sustainable farming practices in Pollachi.</w:t>
      </w:r>
    </w:p>
    <w:p w14:paraId="03B07C46" w14:textId="77777777" w:rsidR="002C6A14" w:rsidRPr="002C6A14" w:rsidRDefault="002C6A14" w:rsidP="002C6A14">
      <w:pPr>
        <w:spacing w:line="480" w:lineRule="auto"/>
        <w:jc w:val="both"/>
        <w:rPr>
          <w:rFonts w:ascii="Times New Roman" w:hAnsi="Times New Roman" w:cs="Times New Roman"/>
          <w:sz w:val="24"/>
          <w:szCs w:val="24"/>
        </w:rPr>
      </w:pPr>
      <w:r w:rsidRPr="002C6A14">
        <w:rPr>
          <w:rFonts w:ascii="Times New Roman" w:hAnsi="Times New Roman" w:cs="Times New Roman"/>
          <w:b/>
          <w:bCs/>
          <w:sz w:val="24"/>
          <w:szCs w:val="24"/>
        </w:rPr>
        <w:t>Keywords:</w:t>
      </w:r>
      <w:r w:rsidRPr="002C6A14">
        <w:rPr>
          <w:rFonts w:ascii="Times New Roman" w:hAnsi="Times New Roman" w:cs="Times New Roman"/>
          <w:sz w:val="24"/>
          <w:szCs w:val="24"/>
        </w:rPr>
        <w:t xml:space="preserve"> </w:t>
      </w:r>
      <w:r w:rsidRPr="002C6A14">
        <w:rPr>
          <w:rFonts w:ascii="Times New Roman" w:hAnsi="Times New Roman" w:cs="Times New Roman"/>
          <w:i/>
          <w:iCs/>
          <w:sz w:val="24"/>
          <w:szCs w:val="24"/>
        </w:rPr>
        <w:t>Organic Fertilizers</w:t>
      </w:r>
      <w:r w:rsidRPr="002C6A14">
        <w:rPr>
          <w:rFonts w:ascii="Times New Roman" w:hAnsi="Times New Roman" w:cs="Times New Roman"/>
          <w:sz w:val="24"/>
          <w:szCs w:val="24"/>
        </w:rPr>
        <w:t xml:space="preserve">; </w:t>
      </w:r>
      <w:r w:rsidRPr="002C6A14">
        <w:rPr>
          <w:rFonts w:ascii="Times New Roman" w:hAnsi="Times New Roman" w:cs="Times New Roman"/>
          <w:i/>
          <w:iCs/>
          <w:sz w:val="24"/>
          <w:szCs w:val="24"/>
        </w:rPr>
        <w:t>Farmer Perception</w:t>
      </w:r>
      <w:r w:rsidRPr="002C6A14">
        <w:rPr>
          <w:rFonts w:ascii="Times New Roman" w:hAnsi="Times New Roman" w:cs="Times New Roman"/>
          <w:sz w:val="24"/>
          <w:szCs w:val="24"/>
        </w:rPr>
        <w:t xml:space="preserve">; </w:t>
      </w:r>
      <w:r w:rsidRPr="002C6A14">
        <w:rPr>
          <w:rFonts w:ascii="Times New Roman" w:hAnsi="Times New Roman" w:cs="Times New Roman"/>
          <w:i/>
          <w:iCs/>
          <w:sz w:val="24"/>
          <w:szCs w:val="24"/>
        </w:rPr>
        <w:t>Sustainable Agriculture</w:t>
      </w:r>
      <w:r w:rsidRPr="002C6A14">
        <w:rPr>
          <w:rFonts w:ascii="Times New Roman" w:hAnsi="Times New Roman" w:cs="Times New Roman"/>
          <w:sz w:val="24"/>
          <w:szCs w:val="24"/>
        </w:rPr>
        <w:t xml:space="preserve">; </w:t>
      </w:r>
      <w:r w:rsidRPr="002C6A14">
        <w:rPr>
          <w:rFonts w:ascii="Times New Roman" w:hAnsi="Times New Roman" w:cs="Times New Roman"/>
          <w:i/>
          <w:iCs/>
          <w:sz w:val="24"/>
          <w:szCs w:val="24"/>
        </w:rPr>
        <w:t>Pollachi</w:t>
      </w:r>
      <w:r w:rsidRPr="002C6A14">
        <w:rPr>
          <w:rFonts w:ascii="Times New Roman" w:hAnsi="Times New Roman" w:cs="Times New Roman"/>
          <w:sz w:val="24"/>
          <w:szCs w:val="24"/>
        </w:rPr>
        <w:t xml:space="preserve">; </w:t>
      </w:r>
      <w:r w:rsidRPr="002C6A14">
        <w:rPr>
          <w:rFonts w:ascii="Times New Roman" w:hAnsi="Times New Roman" w:cs="Times New Roman"/>
          <w:i/>
          <w:iCs/>
          <w:sz w:val="24"/>
          <w:szCs w:val="24"/>
        </w:rPr>
        <w:t>Manure Adoption</w:t>
      </w:r>
    </w:p>
    <w:p w14:paraId="32B009EC" w14:textId="6BBE7DC3" w:rsidR="002C6A14" w:rsidRDefault="002C6A14" w:rsidP="006E763B">
      <w:pPr>
        <w:spacing w:line="480" w:lineRule="auto"/>
        <w:jc w:val="both"/>
        <w:rPr>
          <w:rFonts w:ascii="Times New Roman" w:hAnsi="Times New Roman" w:cs="Times New Roman"/>
          <w:sz w:val="24"/>
          <w:szCs w:val="24"/>
        </w:rPr>
      </w:pPr>
    </w:p>
    <w:p w14:paraId="3C160D59" w14:textId="77777777" w:rsidR="00521F30" w:rsidRDefault="00521F30" w:rsidP="006E763B">
      <w:pPr>
        <w:spacing w:line="480" w:lineRule="auto"/>
        <w:jc w:val="both"/>
        <w:rPr>
          <w:rFonts w:ascii="Times New Roman" w:hAnsi="Times New Roman" w:cs="Times New Roman"/>
          <w:b/>
          <w:bCs/>
          <w:sz w:val="24"/>
          <w:szCs w:val="24"/>
        </w:rPr>
      </w:pPr>
    </w:p>
    <w:p w14:paraId="7BDA0E99" w14:textId="77777777" w:rsidR="00521F30" w:rsidRDefault="00521F30" w:rsidP="006E763B">
      <w:pPr>
        <w:spacing w:line="480" w:lineRule="auto"/>
        <w:jc w:val="both"/>
        <w:rPr>
          <w:rFonts w:ascii="Times New Roman" w:hAnsi="Times New Roman" w:cs="Times New Roman"/>
          <w:b/>
          <w:bCs/>
          <w:sz w:val="24"/>
          <w:szCs w:val="24"/>
        </w:rPr>
      </w:pPr>
    </w:p>
    <w:p w14:paraId="6BC558E3" w14:textId="77777777" w:rsidR="001B4A52" w:rsidRDefault="001B4A52" w:rsidP="006E763B">
      <w:pPr>
        <w:spacing w:line="480" w:lineRule="auto"/>
        <w:jc w:val="both"/>
        <w:rPr>
          <w:rFonts w:ascii="Times New Roman" w:hAnsi="Times New Roman" w:cs="Times New Roman"/>
          <w:b/>
          <w:bCs/>
          <w:sz w:val="24"/>
          <w:szCs w:val="24"/>
        </w:rPr>
      </w:pPr>
    </w:p>
    <w:p w14:paraId="41F4C2F6" w14:textId="05ECDA8B" w:rsidR="001B4A52" w:rsidRDefault="00D819B5" w:rsidP="001B4A52">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1. </w:t>
      </w:r>
      <w:r w:rsidR="001B4A52" w:rsidRPr="001B4A52">
        <w:rPr>
          <w:rFonts w:ascii="Times New Roman" w:hAnsi="Times New Roman" w:cs="Times New Roman"/>
          <w:b/>
          <w:bCs/>
          <w:sz w:val="24"/>
          <w:szCs w:val="24"/>
        </w:rPr>
        <w:t>Introduction</w:t>
      </w:r>
    </w:p>
    <w:p w14:paraId="61B71D93" w14:textId="77777777" w:rsidR="00E7033C" w:rsidRPr="00E7033C" w:rsidRDefault="00E7033C" w:rsidP="00E7033C">
      <w:pPr>
        <w:spacing w:line="480" w:lineRule="auto"/>
        <w:jc w:val="both"/>
        <w:rPr>
          <w:rFonts w:ascii="Times New Roman" w:hAnsi="Times New Roman" w:cs="Times New Roman"/>
          <w:sz w:val="24"/>
          <w:szCs w:val="24"/>
        </w:rPr>
      </w:pPr>
      <w:r w:rsidRPr="00E7033C">
        <w:rPr>
          <w:rFonts w:ascii="Times New Roman" w:hAnsi="Times New Roman" w:cs="Times New Roman"/>
          <w:sz w:val="24"/>
          <w:szCs w:val="24"/>
        </w:rPr>
        <w:t>Indian agriculture faces the dual challenge of meeting rising food demand while maintaining soil health and ecological balance. While chemical fertilizers have increased crop productivity, their excessive use has led to declining soil fertility, lower nutrient efficiency, and environmental degradation (Shukla et al., 2022). Organic fertilizers and manures are promoted as sustainable alternatives, enhancing soil quality, reducing chemical dependence, and supporting long-term farm resilience (Abebe &amp; Debebe, 2019; Dahlin et al., 2016).</w:t>
      </w:r>
    </w:p>
    <w:p w14:paraId="48F66AD7" w14:textId="77777777" w:rsidR="00E7033C" w:rsidRPr="00E7033C" w:rsidRDefault="00E7033C" w:rsidP="00E7033C">
      <w:pPr>
        <w:spacing w:line="480" w:lineRule="auto"/>
        <w:jc w:val="both"/>
        <w:rPr>
          <w:rFonts w:ascii="Times New Roman" w:hAnsi="Times New Roman" w:cs="Times New Roman"/>
          <w:sz w:val="24"/>
          <w:szCs w:val="24"/>
        </w:rPr>
      </w:pPr>
      <w:r w:rsidRPr="00E7033C">
        <w:rPr>
          <w:rFonts w:ascii="Times New Roman" w:hAnsi="Times New Roman" w:cs="Times New Roman"/>
          <w:sz w:val="24"/>
          <w:szCs w:val="24"/>
        </w:rPr>
        <w:t>Adoption of organic inputs is influenced not only by agronomic benefits but also by farmers’ perceptions, socio-economic conditions, awareness, availability of inputs, and extension support (Shehu et al., 2016; Utami et al., 2018). In Tamil Nadu’s Pollachi region, dominated by coconut-based and mixed farming systems, evidence on current organic fertilizer use is limited. This study examines farmers’ perceptions, preferences, socio-economic determinants, and constraints to inform strategies for promoting sustainable fertilizer adoption locally.</w:t>
      </w:r>
    </w:p>
    <w:p w14:paraId="5E9E5129" w14:textId="740F418B" w:rsidR="004B5257" w:rsidRPr="006E763B" w:rsidRDefault="00D819B5" w:rsidP="00D819B5">
      <w:pPr>
        <w:spacing w:line="480" w:lineRule="auto"/>
        <w:rPr>
          <w:rFonts w:ascii="Times New Roman" w:hAnsi="Times New Roman" w:cs="Times New Roman"/>
          <w:sz w:val="24"/>
          <w:szCs w:val="24"/>
        </w:rPr>
      </w:pPr>
      <w:r>
        <w:rPr>
          <w:rFonts w:ascii="Times New Roman" w:hAnsi="Times New Roman" w:cs="Times New Roman"/>
          <w:b/>
          <w:bCs/>
          <w:sz w:val="24"/>
          <w:szCs w:val="24"/>
        </w:rPr>
        <w:t xml:space="preserve">1.1. </w:t>
      </w:r>
      <w:r w:rsidR="00E5107B" w:rsidRPr="006E763B">
        <w:rPr>
          <w:rFonts w:ascii="Times New Roman" w:hAnsi="Times New Roman" w:cs="Times New Roman"/>
          <w:b/>
          <w:bCs/>
          <w:sz w:val="24"/>
          <w:szCs w:val="24"/>
        </w:rPr>
        <w:t>Objective</w:t>
      </w:r>
      <w:r w:rsidR="009B139D">
        <w:rPr>
          <w:rFonts w:ascii="Times New Roman" w:hAnsi="Times New Roman" w:cs="Times New Roman"/>
          <w:b/>
          <w:bCs/>
          <w:sz w:val="24"/>
          <w:szCs w:val="24"/>
        </w:rPr>
        <w:t>s</w:t>
      </w:r>
      <w:r w:rsidR="00E5107B" w:rsidRPr="006E763B">
        <w:rPr>
          <w:rFonts w:ascii="Times New Roman" w:hAnsi="Times New Roman" w:cs="Times New Roman"/>
          <w:b/>
          <w:bCs/>
          <w:sz w:val="24"/>
          <w:szCs w:val="24"/>
        </w:rPr>
        <w:t>:</w:t>
      </w:r>
      <w:r w:rsidR="00E5107B" w:rsidRPr="006E763B">
        <w:rPr>
          <w:rFonts w:ascii="Times New Roman" w:hAnsi="Times New Roman" w:cs="Times New Roman"/>
          <w:sz w:val="24"/>
          <w:szCs w:val="24"/>
        </w:rPr>
        <w:br/>
      </w:r>
      <w:r w:rsidR="004B5257">
        <w:t xml:space="preserve"> </w:t>
      </w:r>
      <w:r w:rsidR="006E763B">
        <w:t xml:space="preserve">1. </w:t>
      </w:r>
      <w:r w:rsidR="004B5257" w:rsidRPr="006E763B">
        <w:rPr>
          <w:rFonts w:ascii="Times New Roman" w:hAnsi="Times New Roman" w:cs="Times New Roman"/>
          <w:sz w:val="24"/>
          <w:szCs w:val="24"/>
        </w:rPr>
        <w:t>Understand farmers’ perceptions and preferences for organic fertilizers and manures in the Pollachi region.</w:t>
      </w:r>
    </w:p>
    <w:p w14:paraId="7A9C7F10" w14:textId="67706345" w:rsidR="004B5257" w:rsidRPr="006E763B" w:rsidRDefault="006E763B" w:rsidP="006E763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4B5257" w:rsidRPr="006E763B">
        <w:rPr>
          <w:rFonts w:ascii="Times New Roman" w:hAnsi="Times New Roman" w:cs="Times New Roman"/>
          <w:sz w:val="24"/>
          <w:szCs w:val="24"/>
        </w:rPr>
        <w:t>Identify constraints hindering the adoption of organic fertilizers in the Pollachi region.</w:t>
      </w:r>
    </w:p>
    <w:p w14:paraId="60C37B9A" w14:textId="3DACF590" w:rsidR="004B5257" w:rsidRPr="006E763B" w:rsidRDefault="006E763B" w:rsidP="006E763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4B5257" w:rsidRPr="006E763B">
        <w:rPr>
          <w:rFonts w:ascii="Times New Roman" w:hAnsi="Times New Roman" w:cs="Times New Roman"/>
          <w:sz w:val="24"/>
          <w:szCs w:val="24"/>
        </w:rPr>
        <w:t>Explore opportunities to promote organic fertilizer use among Pollachi farmers.</w:t>
      </w:r>
    </w:p>
    <w:p w14:paraId="4669A746" w14:textId="072A2DCF" w:rsidR="004B5257" w:rsidRPr="006E763B" w:rsidRDefault="006E763B" w:rsidP="006E763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4B5257" w:rsidRPr="006E763B">
        <w:rPr>
          <w:rFonts w:ascii="Times New Roman" w:hAnsi="Times New Roman" w:cs="Times New Roman"/>
          <w:sz w:val="24"/>
          <w:szCs w:val="24"/>
        </w:rPr>
        <w:t>Analyze socio-economic and farm-related factors influencing organic fertilizer adoption in the Pollachi region.</w:t>
      </w:r>
    </w:p>
    <w:p w14:paraId="5E430A96" w14:textId="50810D1C" w:rsidR="004B5257" w:rsidRPr="006E763B" w:rsidRDefault="006E763B" w:rsidP="006E763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4B5257" w:rsidRPr="006E763B">
        <w:rPr>
          <w:rFonts w:ascii="Times New Roman" w:hAnsi="Times New Roman" w:cs="Times New Roman"/>
          <w:sz w:val="24"/>
          <w:szCs w:val="24"/>
        </w:rPr>
        <w:t>Provide region-specific recommendations to enhance organic fertilizer use and support sustainable farming in Pollachi.</w:t>
      </w:r>
    </w:p>
    <w:p w14:paraId="54D8A117" w14:textId="34C5AAC1" w:rsidR="00A90E48" w:rsidRPr="004B5257" w:rsidRDefault="00A90E48" w:rsidP="004B5257">
      <w:pPr>
        <w:spacing w:line="480" w:lineRule="auto"/>
        <w:jc w:val="both"/>
        <w:rPr>
          <w:rFonts w:ascii="Times New Roman" w:hAnsi="Times New Roman" w:cs="Times New Roman"/>
          <w:sz w:val="24"/>
          <w:szCs w:val="24"/>
        </w:rPr>
      </w:pPr>
      <w:r w:rsidRPr="00305035">
        <w:rPr>
          <w:rFonts w:ascii="Times New Roman" w:hAnsi="Times New Roman" w:cs="Times New Roman"/>
          <w:sz w:val="24"/>
          <w:szCs w:val="24"/>
        </w:rPr>
        <w:br w:type="page"/>
      </w:r>
      <w:r w:rsidRPr="00305035">
        <w:rPr>
          <w:rFonts w:ascii="Times New Roman" w:hAnsi="Times New Roman" w:cs="Times New Roman"/>
          <w:b/>
          <w:bCs/>
          <w:sz w:val="24"/>
          <w:szCs w:val="24"/>
        </w:rPr>
        <w:lastRenderedPageBreak/>
        <w:t>2. Literature Review</w:t>
      </w:r>
    </w:p>
    <w:p w14:paraId="5637EDD1" w14:textId="77777777" w:rsidR="00A90E48" w:rsidRPr="00A90E48" w:rsidRDefault="00A90E48" w:rsidP="00A90E48">
      <w:pPr>
        <w:spacing w:line="480" w:lineRule="auto"/>
        <w:jc w:val="both"/>
        <w:rPr>
          <w:rFonts w:ascii="Times New Roman" w:hAnsi="Times New Roman" w:cs="Times New Roman"/>
          <w:sz w:val="24"/>
          <w:szCs w:val="24"/>
        </w:rPr>
      </w:pPr>
      <w:r w:rsidRPr="00A90E48">
        <w:rPr>
          <w:rFonts w:ascii="Times New Roman" w:hAnsi="Times New Roman" w:cs="Times New Roman"/>
          <w:sz w:val="24"/>
          <w:szCs w:val="24"/>
        </w:rPr>
        <w:t>Research on the adoption of organic fertilizers has gained significant attention globally, reflecting the growing emphasis on sustainable agriculture. Shehu et al. (2016) analyzed perceptions of organic manure among arable crop farmers in Jalingo Local Government, Nigeria, using structured questionnaires administered to 114 proportionately and randomly selected respondents. Descriptive statistics and a logit regression model revealed that most farmers were male, married, educated, and experienced smallholders. They held favorable perceptions of organic manure, with larger farm sizes, higher education levels, and greater extension contact positively influencing adoption. The study recommended government support for large-scale farming and intensified extension services on organic manure utilization.</w:t>
      </w:r>
    </w:p>
    <w:p w14:paraId="3AAB4A63" w14:textId="77777777" w:rsidR="00A90E48" w:rsidRPr="00A90E48" w:rsidRDefault="00A90E48" w:rsidP="00A90E48">
      <w:pPr>
        <w:spacing w:line="480" w:lineRule="auto"/>
        <w:jc w:val="both"/>
        <w:rPr>
          <w:rFonts w:ascii="Times New Roman" w:hAnsi="Times New Roman" w:cs="Times New Roman"/>
          <w:sz w:val="24"/>
          <w:szCs w:val="24"/>
        </w:rPr>
      </w:pPr>
      <w:r w:rsidRPr="00A90E48">
        <w:rPr>
          <w:rFonts w:ascii="Times New Roman" w:hAnsi="Times New Roman" w:cs="Times New Roman"/>
          <w:sz w:val="24"/>
          <w:szCs w:val="24"/>
        </w:rPr>
        <w:t>Similarly, Fasina (2013) examined determinants of perceived effectiveness of organic fertilizers in Oyo State, Nigeria. Findings indicated that awareness, application rate, and method significantly influenced perceptions of effectiveness, emphasizing the importance of extension activities in guiding proper fertilizer use. Nkeme et al. (2014) investigated the use of poultry droppings by female vegetable farmers in Anantiga, Nigeria, and found that low awareness, inadequate access to organic inputs, low output prices, consumer preferences, and poor farmer organization limited adoption. The study recommended awareness campaigns and supportive policies to encourage organic vegetable farming.</w:t>
      </w:r>
    </w:p>
    <w:p w14:paraId="58517B2D" w14:textId="0BFB3F2E" w:rsidR="00A90E48" w:rsidRPr="00A90E48" w:rsidRDefault="00A90E48" w:rsidP="00A90E48">
      <w:pPr>
        <w:spacing w:line="480" w:lineRule="auto"/>
        <w:jc w:val="both"/>
        <w:rPr>
          <w:rFonts w:ascii="Times New Roman" w:hAnsi="Times New Roman" w:cs="Times New Roman"/>
          <w:sz w:val="24"/>
          <w:szCs w:val="24"/>
        </w:rPr>
      </w:pPr>
      <w:r w:rsidRPr="00A90E48">
        <w:rPr>
          <w:rFonts w:ascii="Times New Roman" w:hAnsi="Times New Roman" w:cs="Times New Roman"/>
          <w:sz w:val="24"/>
          <w:szCs w:val="24"/>
        </w:rPr>
        <w:t>In India, Aggarwal (201</w:t>
      </w:r>
      <w:r w:rsidR="005F17DC">
        <w:rPr>
          <w:rFonts w:ascii="Times New Roman" w:hAnsi="Times New Roman" w:cs="Times New Roman"/>
          <w:sz w:val="24"/>
          <w:szCs w:val="24"/>
        </w:rPr>
        <w:t>4</w:t>
      </w:r>
      <w:r w:rsidRPr="00A90E48">
        <w:rPr>
          <w:rFonts w:ascii="Times New Roman" w:hAnsi="Times New Roman" w:cs="Times New Roman"/>
          <w:sz w:val="24"/>
          <w:szCs w:val="24"/>
        </w:rPr>
        <w:t xml:space="preserve">) examined trends in chemical and organic fertilizer production, demand, import-export activities, and governing policies, highlighting both challenges and opportunities for organic fertilizer use. Dubey (2014) reviewed fertilizer marketing and underscored the role of fertilizers in maintaining soil fertility and meeting food demand. Shanthini et al. (2013) explored brand preferences, reporting that quality, price, availability, </w:t>
      </w:r>
      <w:r w:rsidRPr="00A90E48">
        <w:rPr>
          <w:rFonts w:ascii="Times New Roman" w:hAnsi="Times New Roman" w:cs="Times New Roman"/>
          <w:sz w:val="24"/>
          <w:szCs w:val="24"/>
        </w:rPr>
        <w:lastRenderedPageBreak/>
        <w:t>and advertising significantly influenced farmers’ purchasing decisions. Nurul Utamia et al. (2018) studied fertilizer attributes in West Java, Indonesia, emphasizing factors such as nutrient content, packaging, ease of use, price, and promotion as critical determinants of consumer preference.</w:t>
      </w:r>
    </w:p>
    <w:p w14:paraId="48EF4490" w14:textId="77777777" w:rsidR="00A90E48" w:rsidRPr="00A90E48" w:rsidRDefault="00A90E48" w:rsidP="00A90E48">
      <w:pPr>
        <w:spacing w:line="480" w:lineRule="auto"/>
        <w:jc w:val="both"/>
        <w:rPr>
          <w:rFonts w:ascii="Times New Roman" w:hAnsi="Times New Roman" w:cs="Times New Roman"/>
          <w:sz w:val="24"/>
          <w:szCs w:val="24"/>
        </w:rPr>
      </w:pPr>
      <w:r w:rsidRPr="00A90E48">
        <w:rPr>
          <w:rFonts w:ascii="Times New Roman" w:hAnsi="Times New Roman" w:cs="Times New Roman"/>
          <w:sz w:val="24"/>
          <w:szCs w:val="24"/>
        </w:rPr>
        <w:t>International research further contributes to understanding adoption behavior and preferences. Dahlin et al. (2016) investigated consumer preferences for fertilizer product features in the home gardening market, highlighting socio-demographic differences in price sensitivity and preference for brand status, labeling, and nutrient values. Zheng et al. (2022) examined farmers’ chemical fertilizer reduction behavior in China, revealing that technology awareness, social capital, and farmer characteristics significantly influenced adoption. Abebe et al. (2019) in Ethiopia found that education, access to extension services, availability of composting materials, farmland fertility, and household characteristics affected organic fertilizer use among smallholders. Prakash et al. (2021) noted that inappropriate fertilizer use in South Asia contributed to environmental degradation and recommended educational interventions to improve nutrient-use efficiency and reduce negative externalities. Kusumah et al. (2018) highlighted the importance of farmers’ perceptions of quality and attitudes in shaping purchasing decisions.</w:t>
      </w:r>
    </w:p>
    <w:p w14:paraId="14A25421" w14:textId="77777777" w:rsidR="002C6A14" w:rsidRDefault="00A90E48" w:rsidP="00A90E48">
      <w:pPr>
        <w:spacing w:line="480" w:lineRule="auto"/>
        <w:jc w:val="both"/>
        <w:rPr>
          <w:rFonts w:ascii="Times New Roman" w:hAnsi="Times New Roman" w:cs="Times New Roman"/>
          <w:sz w:val="24"/>
          <w:szCs w:val="24"/>
        </w:rPr>
      </w:pPr>
      <w:r w:rsidRPr="00A90E48">
        <w:rPr>
          <w:rFonts w:ascii="Times New Roman" w:hAnsi="Times New Roman" w:cs="Times New Roman"/>
          <w:sz w:val="24"/>
          <w:szCs w:val="24"/>
        </w:rPr>
        <w:t>Across these studies, socio-economic factors, education, access to extension services, awareness, and farm characteristics consistently influence the adoption and perception of organic fertilizers. Market-related factors such as availability, branding, and price, as well as environmental awareness and policy incentives, further shape farmers’ decision-making. Despite this growing body of research, localized, farmer-centered evidence from Tamil Nadu—particularly in the Pollachi region, known for its unique coconut-based farming systems—remains limited.</w:t>
      </w:r>
    </w:p>
    <w:p w14:paraId="34D4012B" w14:textId="0319ECE9" w:rsidR="00A90E48" w:rsidRPr="002C6A14" w:rsidRDefault="00A90E48" w:rsidP="00A90E48">
      <w:pPr>
        <w:spacing w:line="480" w:lineRule="auto"/>
        <w:jc w:val="both"/>
        <w:rPr>
          <w:rFonts w:ascii="Times New Roman" w:hAnsi="Times New Roman" w:cs="Times New Roman"/>
          <w:sz w:val="24"/>
          <w:szCs w:val="24"/>
        </w:rPr>
      </w:pPr>
      <w:r w:rsidRPr="00A90E48">
        <w:rPr>
          <w:rFonts w:ascii="Times New Roman" w:hAnsi="Times New Roman" w:cs="Times New Roman"/>
          <w:b/>
          <w:bCs/>
          <w:sz w:val="24"/>
          <w:szCs w:val="24"/>
        </w:rPr>
        <w:lastRenderedPageBreak/>
        <w:t>2.1 Research Gap and Contribution</w:t>
      </w:r>
    </w:p>
    <w:p w14:paraId="0A32C28A" w14:textId="63BB283F" w:rsidR="00A90E48" w:rsidRPr="00A90E48" w:rsidRDefault="00A90E48" w:rsidP="00A90E48">
      <w:pPr>
        <w:spacing w:line="480" w:lineRule="auto"/>
        <w:jc w:val="both"/>
        <w:rPr>
          <w:rFonts w:ascii="Times New Roman" w:hAnsi="Times New Roman" w:cs="Times New Roman"/>
          <w:sz w:val="24"/>
          <w:szCs w:val="24"/>
        </w:rPr>
      </w:pPr>
      <w:r w:rsidRPr="00A90E48">
        <w:rPr>
          <w:rFonts w:ascii="Times New Roman" w:hAnsi="Times New Roman" w:cs="Times New Roman"/>
          <w:sz w:val="24"/>
          <w:szCs w:val="24"/>
        </w:rPr>
        <w:t>While organic fertilizers offer clear environmental and agronomic benefits, their adoption in India remains limited. Most existing studies focus on macro-level analyses of fertilizer trends or national-level policy impacts (Shukla et al., 2022; Aryal et al., 2021; Aggarwal, 2014), providing limited insight into the micro-level, farmer-centered factors that influence adoption. Research examining farmers’ perceptions, preferences, and constraints in Tamil Nadu, particularly in the Pollachi region—a major agricultural belt with unique coconut-based and mixed cropping systems—is scarce. Existing work (</w:t>
      </w:r>
      <w:r w:rsidR="00530182">
        <w:rPr>
          <w:rFonts w:ascii="Times New Roman" w:hAnsi="Times New Roman" w:cs="Times New Roman"/>
          <w:sz w:val="24"/>
          <w:szCs w:val="24"/>
        </w:rPr>
        <w:t>Habanyathi</w:t>
      </w:r>
      <w:r w:rsidRPr="00A90E48">
        <w:rPr>
          <w:rFonts w:ascii="Times New Roman" w:hAnsi="Times New Roman" w:cs="Times New Roman"/>
          <w:sz w:val="24"/>
          <w:szCs w:val="24"/>
        </w:rPr>
        <w:t xml:space="preserve"> et al., 2024; Sudhalakshmi et al., 2024) offers some information on broader adoption trends and the use of organic inputs such as farmyard manure and bio-fertilizers, but detailed, localized evidence on socio-economic, cultural, and market-related factors shaping farmers’ adoption behavior is lacking.</w:t>
      </w:r>
      <w:r w:rsidRPr="00305035">
        <w:rPr>
          <w:rFonts w:ascii="Times New Roman" w:hAnsi="Times New Roman" w:cs="Times New Roman"/>
          <w:sz w:val="24"/>
          <w:szCs w:val="24"/>
        </w:rPr>
        <w:t xml:space="preserve"> </w:t>
      </w:r>
    </w:p>
    <w:p w14:paraId="29E27F8E" w14:textId="77777777" w:rsidR="00A90E48" w:rsidRPr="00A90E48" w:rsidRDefault="00A90E48" w:rsidP="00A90E48">
      <w:pPr>
        <w:spacing w:line="480" w:lineRule="auto"/>
        <w:jc w:val="both"/>
        <w:rPr>
          <w:rFonts w:ascii="Times New Roman" w:hAnsi="Times New Roman" w:cs="Times New Roman"/>
          <w:sz w:val="24"/>
          <w:szCs w:val="24"/>
        </w:rPr>
      </w:pPr>
      <w:r w:rsidRPr="00A90E48">
        <w:rPr>
          <w:rFonts w:ascii="Times New Roman" w:hAnsi="Times New Roman" w:cs="Times New Roman"/>
          <w:sz w:val="24"/>
          <w:szCs w:val="24"/>
        </w:rPr>
        <w:t>This study addresses these gaps by:</w:t>
      </w:r>
    </w:p>
    <w:p w14:paraId="7144221B" w14:textId="0BD7D291" w:rsidR="00A90E48" w:rsidRPr="00A90E48" w:rsidRDefault="00A90E48" w:rsidP="00A90E48">
      <w:pPr>
        <w:numPr>
          <w:ilvl w:val="0"/>
          <w:numId w:val="4"/>
        </w:numPr>
        <w:spacing w:line="480" w:lineRule="auto"/>
        <w:jc w:val="both"/>
        <w:rPr>
          <w:rFonts w:ascii="Times New Roman" w:hAnsi="Times New Roman" w:cs="Times New Roman"/>
          <w:sz w:val="24"/>
          <w:szCs w:val="24"/>
        </w:rPr>
      </w:pPr>
      <w:r w:rsidRPr="00A90E48">
        <w:rPr>
          <w:rFonts w:ascii="Times New Roman" w:hAnsi="Times New Roman" w:cs="Times New Roman"/>
          <w:b/>
          <w:bCs/>
          <w:sz w:val="24"/>
          <w:szCs w:val="24"/>
        </w:rPr>
        <w:t>Providing farmer-centered evidence:</w:t>
      </w:r>
      <w:r w:rsidRPr="00A90E48">
        <w:rPr>
          <w:rFonts w:ascii="Times New Roman" w:hAnsi="Times New Roman" w:cs="Times New Roman"/>
          <w:sz w:val="24"/>
          <w:szCs w:val="24"/>
        </w:rPr>
        <w:t xml:space="preserve"> Surveys of 60 Pollachi farmers capture localized perceptions and pr</w:t>
      </w:r>
      <w:r w:rsidR="002C56A3">
        <w:rPr>
          <w:rFonts w:ascii="Times New Roman" w:hAnsi="Times New Roman" w:cs="Times New Roman"/>
          <w:sz w:val="24"/>
          <w:szCs w:val="24"/>
        </w:rPr>
        <w:t>eferences</w:t>
      </w:r>
      <w:r w:rsidRPr="00A90E48">
        <w:rPr>
          <w:rFonts w:ascii="Times New Roman" w:hAnsi="Times New Roman" w:cs="Times New Roman"/>
          <w:sz w:val="24"/>
          <w:szCs w:val="24"/>
        </w:rPr>
        <w:t>.</w:t>
      </w:r>
    </w:p>
    <w:p w14:paraId="7F7C67E3" w14:textId="066A0C1F" w:rsidR="0062360A" w:rsidRPr="0062360A" w:rsidRDefault="0062360A" w:rsidP="00A90E48">
      <w:pPr>
        <w:numPr>
          <w:ilvl w:val="0"/>
          <w:numId w:val="4"/>
        </w:numPr>
        <w:spacing w:line="480" w:lineRule="auto"/>
        <w:jc w:val="both"/>
        <w:rPr>
          <w:rFonts w:ascii="Times New Roman" w:hAnsi="Times New Roman" w:cs="Times New Roman"/>
          <w:sz w:val="24"/>
          <w:szCs w:val="24"/>
        </w:rPr>
      </w:pPr>
      <w:r w:rsidRPr="0062360A">
        <w:rPr>
          <w:rFonts w:ascii="Times New Roman" w:hAnsi="Times New Roman" w:cs="Times New Roman"/>
          <w:b/>
          <w:bCs/>
          <w:sz w:val="24"/>
          <w:szCs w:val="24"/>
        </w:rPr>
        <w:t>Focusing on a region-specific context:</w:t>
      </w:r>
      <w:r w:rsidRPr="0062360A">
        <w:rPr>
          <w:rFonts w:ascii="Times New Roman" w:hAnsi="Times New Roman" w:cs="Times New Roman"/>
          <w:sz w:val="24"/>
          <w:szCs w:val="24"/>
        </w:rPr>
        <w:t xml:space="preserve"> The study is limited to the Pollachi region of Tamil Nadu and provides insights into what farmers in this area specifically need for adopting organic fertilizers</w:t>
      </w:r>
    </w:p>
    <w:p w14:paraId="0F4C4D89" w14:textId="2B192A66" w:rsidR="00A90E48" w:rsidRPr="00A90E48" w:rsidRDefault="00A90E48" w:rsidP="00A90E48">
      <w:pPr>
        <w:numPr>
          <w:ilvl w:val="0"/>
          <w:numId w:val="4"/>
        </w:numPr>
        <w:spacing w:line="480" w:lineRule="auto"/>
        <w:jc w:val="both"/>
        <w:rPr>
          <w:rFonts w:ascii="Times New Roman" w:hAnsi="Times New Roman" w:cs="Times New Roman"/>
          <w:sz w:val="24"/>
          <w:szCs w:val="24"/>
        </w:rPr>
      </w:pPr>
      <w:r w:rsidRPr="00A90E48">
        <w:rPr>
          <w:rFonts w:ascii="Times New Roman" w:hAnsi="Times New Roman" w:cs="Times New Roman"/>
          <w:b/>
          <w:bCs/>
          <w:sz w:val="24"/>
          <w:szCs w:val="24"/>
        </w:rPr>
        <w:t>Analyzing perceptions and constraints:</w:t>
      </w:r>
      <w:r w:rsidRPr="00A90E48">
        <w:rPr>
          <w:rFonts w:ascii="Times New Roman" w:hAnsi="Times New Roman" w:cs="Times New Roman"/>
          <w:sz w:val="24"/>
          <w:szCs w:val="24"/>
        </w:rPr>
        <w:t xml:space="preserve"> Identifies motivations, benefits, and barriers such as availability, cost</w:t>
      </w:r>
      <w:r w:rsidR="005B5F1E">
        <w:rPr>
          <w:rFonts w:ascii="Times New Roman" w:hAnsi="Times New Roman" w:cs="Times New Roman"/>
          <w:sz w:val="24"/>
          <w:szCs w:val="24"/>
        </w:rPr>
        <w:t xml:space="preserve"> </w:t>
      </w:r>
      <w:r w:rsidRPr="00A90E48">
        <w:rPr>
          <w:rFonts w:ascii="Times New Roman" w:hAnsi="Times New Roman" w:cs="Times New Roman"/>
          <w:sz w:val="24"/>
          <w:szCs w:val="24"/>
        </w:rPr>
        <w:t>and initial yield reductions.</w:t>
      </w:r>
    </w:p>
    <w:p w14:paraId="7D473CDC" w14:textId="77777777" w:rsidR="00A90E48" w:rsidRPr="00305035" w:rsidRDefault="00A90E48" w:rsidP="00A90E48">
      <w:pPr>
        <w:numPr>
          <w:ilvl w:val="0"/>
          <w:numId w:val="4"/>
        </w:numPr>
        <w:spacing w:line="480" w:lineRule="auto"/>
        <w:jc w:val="both"/>
        <w:rPr>
          <w:rFonts w:ascii="Times New Roman" w:hAnsi="Times New Roman" w:cs="Times New Roman"/>
          <w:sz w:val="24"/>
          <w:szCs w:val="24"/>
        </w:rPr>
      </w:pPr>
      <w:r w:rsidRPr="00A90E48">
        <w:rPr>
          <w:rFonts w:ascii="Times New Roman" w:hAnsi="Times New Roman" w:cs="Times New Roman"/>
          <w:b/>
          <w:bCs/>
          <w:sz w:val="24"/>
          <w:szCs w:val="24"/>
        </w:rPr>
        <w:t>Offering practical implications:</w:t>
      </w:r>
      <w:r w:rsidRPr="00A90E48">
        <w:rPr>
          <w:rFonts w:ascii="Times New Roman" w:hAnsi="Times New Roman" w:cs="Times New Roman"/>
          <w:sz w:val="24"/>
          <w:szCs w:val="24"/>
        </w:rPr>
        <w:t xml:space="preserve"> Highlights region-specific challenges and opportunities to guide interventions, supply chains, and awareness programs for sustainable farming.</w:t>
      </w:r>
    </w:p>
    <w:p w14:paraId="4A19A3D7" w14:textId="77777777" w:rsidR="00C60023" w:rsidRDefault="00C60023" w:rsidP="007F79EC">
      <w:pPr>
        <w:spacing w:line="480" w:lineRule="auto"/>
        <w:jc w:val="both"/>
        <w:rPr>
          <w:rFonts w:ascii="Times New Roman" w:hAnsi="Times New Roman" w:cs="Times New Roman"/>
          <w:b/>
          <w:bCs/>
          <w:sz w:val="24"/>
          <w:szCs w:val="24"/>
        </w:rPr>
      </w:pPr>
    </w:p>
    <w:p w14:paraId="330FE2D9" w14:textId="5F6BEAC0" w:rsidR="007F79EC" w:rsidRPr="007F79EC" w:rsidRDefault="007F79EC" w:rsidP="007F79EC">
      <w:pPr>
        <w:spacing w:line="480" w:lineRule="auto"/>
        <w:jc w:val="both"/>
        <w:rPr>
          <w:rFonts w:ascii="Times New Roman" w:hAnsi="Times New Roman" w:cs="Times New Roman"/>
          <w:b/>
          <w:bCs/>
          <w:sz w:val="24"/>
          <w:szCs w:val="24"/>
        </w:rPr>
      </w:pPr>
      <w:r w:rsidRPr="007F79EC">
        <w:rPr>
          <w:rFonts w:ascii="Times New Roman" w:hAnsi="Times New Roman" w:cs="Times New Roman"/>
          <w:b/>
          <w:bCs/>
          <w:sz w:val="24"/>
          <w:szCs w:val="24"/>
        </w:rPr>
        <w:lastRenderedPageBreak/>
        <w:t>3. Design of the Study</w:t>
      </w:r>
    </w:p>
    <w:p w14:paraId="037E7514" w14:textId="39843F9B" w:rsidR="007F79EC" w:rsidRPr="007F79EC" w:rsidRDefault="007F79EC" w:rsidP="007F79EC">
      <w:pPr>
        <w:spacing w:line="480" w:lineRule="auto"/>
        <w:jc w:val="both"/>
        <w:rPr>
          <w:rFonts w:ascii="Times New Roman" w:hAnsi="Times New Roman" w:cs="Times New Roman"/>
          <w:sz w:val="24"/>
          <w:szCs w:val="24"/>
        </w:rPr>
      </w:pPr>
      <w:r w:rsidRPr="007F79EC">
        <w:rPr>
          <w:rFonts w:ascii="Times New Roman" w:hAnsi="Times New Roman" w:cs="Times New Roman"/>
          <w:sz w:val="24"/>
          <w:szCs w:val="24"/>
        </w:rPr>
        <w:t xml:space="preserve">The research design is crucial for ensuring meaningful and logical inferences. This </w:t>
      </w:r>
      <w:r w:rsidRPr="00305035">
        <w:rPr>
          <w:rFonts w:ascii="Times New Roman" w:hAnsi="Times New Roman" w:cs="Times New Roman"/>
          <w:sz w:val="24"/>
          <w:szCs w:val="24"/>
        </w:rPr>
        <w:t xml:space="preserve">Section </w:t>
      </w:r>
      <w:r w:rsidRPr="007F79EC">
        <w:rPr>
          <w:rFonts w:ascii="Times New Roman" w:hAnsi="Times New Roman" w:cs="Times New Roman"/>
          <w:sz w:val="24"/>
          <w:szCs w:val="24"/>
        </w:rPr>
        <w:t>outlines the selection of the study area, respondents, data collection procedures, and analytical tools used to achieve the research objectives.</w:t>
      </w:r>
    </w:p>
    <w:p w14:paraId="255E365E" w14:textId="77777777" w:rsidR="007F79EC" w:rsidRPr="007F79EC" w:rsidRDefault="007F79EC" w:rsidP="007F79EC">
      <w:pPr>
        <w:spacing w:line="480" w:lineRule="auto"/>
        <w:jc w:val="both"/>
        <w:rPr>
          <w:rFonts w:ascii="Times New Roman" w:hAnsi="Times New Roman" w:cs="Times New Roman"/>
          <w:b/>
          <w:bCs/>
          <w:sz w:val="24"/>
          <w:szCs w:val="24"/>
        </w:rPr>
      </w:pPr>
      <w:r w:rsidRPr="007F79EC">
        <w:rPr>
          <w:rFonts w:ascii="Times New Roman" w:hAnsi="Times New Roman" w:cs="Times New Roman"/>
          <w:b/>
          <w:bCs/>
          <w:sz w:val="24"/>
          <w:szCs w:val="24"/>
        </w:rPr>
        <w:t>3.1 Selection of the Study Area</w:t>
      </w:r>
    </w:p>
    <w:p w14:paraId="2A586D2C" w14:textId="77777777" w:rsidR="007F79EC" w:rsidRPr="007F79EC" w:rsidRDefault="007F79EC" w:rsidP="007F79EC">
      <w:pPr>
        <w:spacing w:line="480" w:lineRule="auto"/>
        <w:jc w:val="both"/>
        <w:rPr>
          <w:rFonts w:ascii="Times New Roman" w:hAnsi="Times New Roman" w:cs="Times New Roman"/>
          <w:sz w:val="24"/>
          <w:szCs w:val="24"/>
        </w:rPr>
      </w:pPr>
      <w:r w:rsidRPr="007F79EC">
        <w:rPr>
          <w:rFonts w:ascii="Times New Roman" w:hAnsi="Times New Roman" w:cs="Times New Roman"/>
          <w:sz w:val="24"/>
          <w:szCs w:val="24"/>
        </w:rPr>
        <w:t xml:space="preserve">The study was conducted in the </w:t>
      </w:r>
      <w:r w:rsidRPr="007F79EC">
        <w:rPr>
          <w:rFonts w:ascii="Times New Roman" w:hAnsi="Times New Roman" w:cs="Times New Roman"/>
          <w:b/>
          <w:bCs/>
          <w:sz w:val="24"/>
          <w:szCs w:val="24"/>
        </w:rPr>
        <w:t>Pollachi region of western Tamil Nadu</w:t>
      </w:r>
      <w:r w:rsidRPr="007F79EC">
        <w:rPr>
          <w:rFonts w:ascii="Times New Roman" w:hAnsi="Times New Roman" w:cs="Times New Roman"/>
          <w:sz w:val="24"/>
          <w:szCs w:val="24"/>
        </w:rPr>
        <w:t>, chosen for its accessibility and the widespread use of multiple fertilizers by farmers, which facilitates the study of preferences and perceptions regarding organic fertilizers.</w:t>
      </w:r>
    </w:p>
    <w:p w14:paraId="1D60ED3B" w14:textId="77777777" w:rsidR="007F79EC" w:rsidRPr="007F79EC" w:rsidRDefault="007F79EC" w:rsidP="007F79EC">
      <w:pPr>
        <w:spacing w:line="480" w:lineRule="auto"/>
        <w:jc w:val="both"/>
        <w:rPr>
          <w:rFonts w:ascii="Times New Roman" w:hAnsi="Times New Roman" w:cs="Times New Roman"/>
          <w:b/>
          <w:bCs/>
          <w:sz w:val="24"/>
          <w:szCs w:val="24"/>
        </w:rPr>
      </w:pPr>
      <w:r w:rsidRPr="007F79EC">
        <w:rPr>
          <w:rFonts w:ascii="Times New Roman" w:hAnsi="Times New Roman" w:cs="Times New Roman"/>
          <w:b/>
          <w:bCs/>
          <w:sz w:val="24"/>
          <w:szCs w:val="24"/>
        </w:rPr>
        <w:t>3.2 Selection of Respondents</w:t>
      </w:r>
    </w:p>
    <w:p w14:paraId="2A79A569" w14:textId="3F6217BF" w:rsidR="007F79EC" w:rsidRPr="007F79EC" w:rsidRDefault="007F79EC" w:rsidP="007F79EC">
      <w:pPr>
        <w:spacing w:line="480" w:lineRule="auto"/>
        <w:jc w:val="both"/>
        <w:rPr>
          <w:rFonts w:ascii="Times New Roman" w:hAnsi="Times New Roman" w:cs="Times New Roman"/>
          <w:b/>
          <w:bCs/>
          <w:sz w:val="24"/>
          <w:szCs w:val="24"/>
        </w:rPr>
      </w:pPr>
      <w:r w:rsidRPr="007F79EC">
        <w:rPr>
          <w:rFonts w:ascii="Times New Roman" w:hAnsi="Times New Roman" w:cs="Times New Roman"/>
          <w:sz w:val="24"/>
          <w:szCs w:val="24"/>
        </w:rPr>
        <w:t xml:space="preserve">Farmers were selected using </w:t>
      </w:r>
      <w:r w:rsidRPr="007F79EC">
        <w:rPr>
          <w:rFonts w:ascii="Times New Roman" w:hAnsi="Times New Roman" w:cs="Times New Roman"/>
          <w:b/>
          <w:bCs/>
          <w:sz w:val="24"/>
          <w:szCs w:val="24"/>
        </w:rPr>
        <w:t>random sampling</w:t>
      </w:r>
      <w:r w:rsidRPr="007F79EC">
        <w:rPr>
          <w:rFonts w:ascii="Times New Roman" w:hAnsi="Times New Roman" w:cs="Times New Roman"/>
          <w:sz w:val="24"/>
          <w:szCs w:val="24"/>
        </w:rPr>
        <w:t xml:space="preserve"> to ensure representation across small, marginal, and large farmers. A total of </w:t>
      </w:r>
      <w:r w:rsidRPr="007F79EC">
        <w:rPr>
          <w:rFonts w:ascii="Times New Roman" w:hAnsi="Times New Roman" w:cs="Times New Roman"/>
          <w:b/>
          <w:bCs/>
          <w:sz w:val="24"/>
          <w:szCs w:val="24"/>
        </w:rPr>
        <w:t>60 farmers</w:t>
      </w:r>
      <w:r w:rsidRPr="007F79EC">
        <w:rPr>
          <w:rFonts w:ascii="Times New Roman" w:hAnsi="Times New Roman" w:cs="Times New Roman"/>
          <w:sz w:val="24"/>
          <w:szCs w:val="24"/>
        </w:rPr>
        <w:t xml:space="preserve"> were surveyed during a Farmer Producer Organization (FPO) meet</w:t>
      </w:r>
      <w:r w:rsidR="00F137B1">
        <w:rPr>
          <w:rFonts w:ascii="Times New Roman" w:hAnsi="Times New Roman" w:cs="Times New Roman"/>
          <w:sz w:val="24"/>
          <w:szCs w:val="24"/>
        </w:rPr>
        <w:t xml:space="preserve"> held at </w:t>
      </w:r>
      <w:r w:rsidR="00F137B1" w:rsidRPr="00F137B1">
        <w:rPr>
          <w:rFonts w:ascii="Times New Roman" w:hAnsi="Times New Roman" w:cs="Times New Roman"/>
          <w:b/>
          <w:bCs/>
          <w:sz w:val="24"/>
          <w:szCs w:val="24"/>
        </w:rPr>
        <w:t>Mahalingam College of Engineering and Technology (MCET)</w:t>
      </w:r>
      <w:r w:rsidRPr="007F79EC">
        <w:rPr>
          <w:rFonts w:ascii="Times New Roman" w:hAnsi="Times New Roman" w:cs="Times New Roman"/>
          <w:sz w:val="24"/>
          <w:szCs w:val="24"/>
        </w:rPr>
        <w:t xml:space="preserve"> in the region.</w:t>
      </w:r>
      <w:r w:rsidR="00AC3FCC" w:rsidRPr="00305035">
        <w:rPr>
          <w:rFonts w:ascii="Times New Roman" w:hAnsi="Times New Roman" w:cs="Times New Roman"/>
          <w:sz w:val="24"/>
          <w:szCs w:val="24"/>
        </w:rPr>
        <w:t xml:space="preserve"> The survey was undertaken during the month of  </w:t>
      </w:r>
      <w:r w:rsidR="00AC3FCC" w:rsidRPr="00305035">
        <w:rPr>
          <w:rFonts w:ascii="Times New Roman" w:hAnsi="Times New Roman" w:cs="Times New Roman"/>
          <w:b/>
          <w:bCs/>
          <w:sz w:val="24"/>
          <w:szCs w:val="24"/>
        </w:rPr>
        <w:t xml:space="preserve">May 2023. </w:t>
      </w:r>
    </w:p>
    <w:p w14:paraId="17CB70BC" w14:textId="2DAFED67" w:rsidR="007F79EC" w:rsidRPr="007F79EC" w:rsidRDefault="007F79EC" w:rsidP="007F79EC">
      <w:pPr>
        <w:spacing w:line="480" w:lineRule="auto"/>
        <w:jc w:val="both"/>
        <w:rPr>
          <w:rFonts w:ascii="Times New Roman" w:hAnsi="Times New Roman" w:cs="Times New Roman"/>
          <w:b/>
          <w:bCs/>
          <w:sz w:val="24"/>
          <w:szCs w:val="24"/>
        </w:rPr>
      </w:pPr>
      <w:r w:rsidRPr="007F79EC">
        <w:rPr>
          <w:rFonts w:ascii="Times New Roman" w:hAnsi="Times New Roman" w:cs="Times New Roman"/>
          <w:b/>
          <w:bCs/>
          <w:sz w:val="24"/>
          <w:szCs w:val="24"/>
        </w:rPr>
        <w:t xml:space="preserve">3.3 Data Collection </w:t>
      </w:r>
    </w:p>
    <w:p w14:paraId="352E0073" w14:textId="3A5ACE3D" w:rsidR="007F79EC" w:rsidRPr="00305035" w:rsidRDefault="00AC3FCC" w:rsidP="007F79EC">
      <w:pPr>
        <w:spacing w:line="480" w:lineRule="auto"/>
        <w:jc w:val="both"/>
        <w:rPr>
          <w:rFonts w:ascii="Times New Roman" w:hAnsi="Times New Roman" w:cs="Times New Roman"/>
          <w:sz w:val="24"/>
          <w:szCs w:val="24"/>
        </w:rPr>
      </w:pPr>
      <w:r w:rsidRPr="00305035">
        <w:rPr>
          <w:rFonts w:ascii="Times New Roman" w:hAnsi="Times New Roman" w:cs="Times New Roman"/>
          <w:sz w:val="24"/>
          <w:szCs w:val="24"/>
        </w:rPr>
        <w:t xml:space="preserve">For the collection of primary data, a separate well-structured interview schedule was prepared for farmers based on our objective. The data required for the study were gathered by personal interviews with the selected respondents (farmers). The data collected from the sample farmers included general particulars like age, address, gender, experience, area of land holding, crops grown, soil type, land type, </w:t>
      </w:r>
      <w:r w:rsidR="00F137B1">
        <w:rPr>
          <w:rFonts w:ascii="Times New Roman" w:hAnsi="Times New Roman" w:cs="Times New Roman"/>
          <w:sz w:val="24"/>
          <w:szCs w:val="24"/>
        </w:rPr>
        <w:t xml:space="preserve"> </w:t>
      </w:r>
      <w:r w:rsidRPr="00305035">
        <w:rPr>
          <w:rFonts w:ascii="Times New Roman" w:hAnsi="Times New Roman" w:cs="Times New Roman"/>
          <w:sz w:val="24"/>
          <w:szCs w:val="24"/>
        </w:rPr>
        <w:t>usage of fertilizers, advantages and disadvantages of using organic fertilizers, perception and preference.</w:t>
      </w:r>
    </w:p>
    <w:p w14:paraId="41AB149F" w14:textId="77777777" w:rsidR="00AC3FCC" w:rsidRPr="00305035" w:rsidRDefault="00AC3FCC" w:rsidP="007F79EC">
      <w:pPr>
        <w:spacing w:line="480" w:lineRule="auto"/>
        <w:jc w:val="both"/>
        <w:rPr>
          <w:rFonts w:ascii="Times New Roman" w:hAnsi="Times New Roman" w:cs="Times New Roman"/>
          <w:b/>
          <w:bCs/>
          <w:sz w:val="24"/>
          <w:szCs w:val="24"/>
        </w:rPr>
      </w:pPr>
    </w:p>
    <w:p w14:paraId="2FC8CED0" w14:textId="77777777" w:rsidR="00AC3FCC" w:rsidRPr="00305035" w:rsidRDefault="00AC3FCC" w:rsidP="007F79EC">
      <w:pPr>
        <w:spacing w:line="480" w:lineRule="auto"/>
        <w:jc w:val="both"/>
        <w:rPr>
          <w:rFonts w:ascii="Times New Roman" w:hAnsi="Times New Roman" w:cs="Times New Roman"/>
          <w:b/>
          <w:bCs/>
          <w:sz w:val="24"/>
          <w:szCs w:val="24"/>
        </w:rPr>
      </w:pPr>
    </w:p>
    <w:p w14:paraId="707F72DF" w14:textId="4C558DB5" w:rsidR="007F79EC" w:rsidRPr="007F79EC" w:rsidRDefault="007F79EC" w:rsidP="007F79EC">
      <w:pPr>
        <w:spacing w:line="480" w:lineRule="auto"/>
        <w:jc w:val="both"/>
        <w:rPr>
          <w:rFonts w:ascii="Times New Roman" w:hAnsi="Times New Roman" w:cs="Times New Roman"/>
          <w:b/>
          <w:bCs/>
          <w:sz w:val="24"/>
          <w:szCs w:val="24"/>
        </w:rPr>
      </w:pPr>
      <w:r w:rsidRPr="007F79EC">
        <w:rPr>
          <w:rFonts w:ascii="Times New Roman" w:hAnsi="Times New Roman" w:cs="Times New Roman"/>
          <w:b/>
          <w:bCs/>
          <w:sz w:val="24"/>
          <w:szCs w:val="24"/>
        </w:rPr>
        <w:lastRenderedPageBreak/>
        <w:t>3.4 Tools for Analysis</w:t>
      </w:r>
    </w:p>
    <w:p w14:paraId="6466B61E" w14:textId="79878601" w:rsidR="007F79EC" w:rsidRPr="007F79EC" w:rsidRDefault="007F79EC" w:rsidP="007F79EC">
      <w:pPr>
        <w:spacing w:line="480" w:lineRule="auto"/>
        <w:jc w:val="both"/>
        <w:rPr>
          <w:rFonts w:ascii="Times New Roman" w:hAnsi="Times New Roman" w:cs="Times New Roman"/>
          <w:sz w:val="24"/>
          <w:szCs w:val="24"/>
        </w:rPr>
      </w:pPr>
      <w:r w:rsidRPr="007F79EC">
        <w:rPr>
          <w:rFonts w:ascii="Times New Roman" w:hAnsi="Times New Roman" w:cs="Times New Roman"/>
          <w:b/>
          <w:bCs/>
          <w:sz w:val="24"/>
          <w:szCs w:val="24"/>
        </w:rPr>
        <w:t>Percentage analysis</w:t>
      </w:r>
      <w:r w:rsidRPr="007F79EC">
        <w:rPr>
          <w:rFonts w:ascii="Times New Roman" w:hAnsi="Times New Roman" w:cs="Times New Roman"/>
          <w:sz w:val="24"/>
          <w:szCs w:val="24"/>
        </w:rPr>
        <w:t xml:space="preserve"> was used to describe and compare the characteristics of respondents and farming practices. This method reduces data to a common base, allowing meaningful comparisons of variables such as socio-economic characteristics and farming practices.</w:t>
      </w:r>
    </w:p>
    <w:p w14:paraId="53658652" w14:textId="69E9D60D" w:rsidR="007F79EC" w:rsidRPr="00305035" w:rsidRDefault="006E2371" w:rsidP="006E2371">
      <w:pPr>
        <w:tabs>
          <w:tab w:val="left" w:pos="5040"/>
        </w:tabs>
        <w:spacing w:line="480" w:lineRule="auto"/>
        <w:jc w:val="both"/>
        <w:rPr>
          <w:rFonts w:ascii="Times New Roman" w:hAnsi="Times New Roman" w:cs="Times New Roman"/>
          <w:b/>
          <w:bCs/>
          <w:sz w:val="24"/>
          <w:szCs w:val="24"/>
        </w:rPr>
      </w:pPr>
      <w:r w:rsidRPr="00305035">
        <w:rPr>
          <w:rFonts w:ascii="Times New Roman" w:hAnsi="Times New Roman" w:cs="Times New Roman"/>
          <w:b/>
          <w:bCs/>
          <w:sz w:val="24"/>
          <w:szCs w:val="24"/>
        </w:rPr>
        <mc:AlternateContent>
          <mc:Choice Requires="wps">
            <w:drawing>
              <wp:anchor distT="0" distB="0" distL="114300" distR="114300" simplePos="0" relativeHeight="251659264" behindDoc="1" locked="0" layoutInCell="1" allowOverlap="1" wp14:anchorId="6971C7AC" wp14:editId="1D3844BD">
                <wp:simplePos x="0" y="0"/>
                <wp:positionH relativeFrom="margin">
                  <wp:posOffset>304800</wp:posOffset>
                </wp:positionH>
                <wp:positionV relativeFrom="paragraph">
                  <wp:posOffset>368300</wp:posOffset>
                </wp:positionV>
                <wp:extent cx="4899660" cy="335280"/>
                <wp:effectExtent l="0" t="0" r="15240" b="26670"/>
                <wp:wrapNone/>
                <wp:docPr id="235767781" name="Rectangle 1"/>
                <wp:cNvGraphicFramePr/>
                <a:graphic xmlns:a="http://schemas.openxmlformats.org/drawingml/2006/main">
                  <a:graphicData uri="http://schemas.microsoft.com/office/word/2010/wordprocessingShape">
                    <wps:wsp>
                      <wps:cNvSpPr/>
                      <wps:spPr>
                        <a:xfrm>
                          <a:off x="0" y="0"/>
                          <a:ext cx="4899660" cy="335280"/>
                        </a:xfrm>
                        <a:prstGeom prst="rect">
                          <a:avLst/>
                        </a:prstGeom>
                      </wps:spPr>
                      <wps:style>
                        <a:lnRef idx="2">
                          <a:schemeClr val="dk1"/>
                        </a:lnRef>
                        <a:fillRef idx="1">
                          <a:schemeClr val="lt1"/>
                        </a:fillRef>
                        <a:effectRef idx="0">
                          <a:schemeClr val="dk1"/>
                        </a:effectRef>
                        <a:fontRef idx="minor">
                          <a:schemeClr val="dk1"/>
                        </a:fontRef>
                      </wps:style>
                      <wps:txbx>
                        <w:txbxContent>
                          <w:p w14:paraId="7196C3CD" w14:textId="77777777" w:rsidR="006E2371" w:rsidRPr="00305035" w:rsidRDefault="006E2371" w:rsidP="006E2371">
                            <w:pPr>
                              <w:spacing w:line="480" w:lineRule="auto"/>
                              <w:jc w:val="center"/>
                              <w:rPr>
                                <w:rFonts w:ascii="Times New Roman" w:hAnsi="Times New Roman" w:cs="Times New Roman"/>
                                <w:b/>
                                <w:bCs/>
                                <w:sz w:val="24"/>
                                <w:szCs w:val="24"/>
                              </w:rPr>
                            </w:pPr>
                            <w:r w:rsidRPr="00305035">
                              <w:rPr>
                                <w:rFonts w:ascii="Times New Roman" w:hAnsi="Times New Roman" w:cs="Times New Roman"/>
                                <w:b/>
                                <w:bCs/>
                                <w:sz w:val="24"/>
                                <w:szCs w:val="24"/>
                              </w:rPr>
                              <w:t>Percentage = No of Respondents / Total Number of Respondents * 100</w:t>
                            </w:r>
                          </w:p>
                          <w:p w14:paraId="6A7ED76C" w14:textId="77777777" w:rsidR="006E2371" w:rsidRPr="00305035" w:rsidRDefault="006E2371" w:rsidP="006E237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71C7AC" id="Rectangle 1" o:spid="_x0000_s1026" style="position:absolute;left:0;text-align:left;margin-left:24pt;margin-top:29pt;width:385.8pt;height:26.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" fillcolor="white [3201]" strokecolor="black [3200]" strokeweight="1pt">
                <v:textbox>
                  <w:txbxContent>
                    <w:p w14:paraId="7196C3CD" w14:textId="77777777" w:rsidR="006E2371" w:rsidRPr="00305035" w:rsidRDefault="006E2371" w:rsidP="006E2371">
                      <w:pPr>
                        <w:spacing w:line="480" w:lineRule="auto"/>
                        <w:jc w:val="center"/>
                        <w:rPr>
                          <w:rFonts w:ascii="Times New Roman" w:hAnsi="Times New Roman" w:cs="Times New Roman"/>
                          <w:b/>
                          <w:bCs/>
                          <w:sz w:val="24"/>
                          <w:szCs w:val="24"/>
                        </w:rPr>
                      </w:pPr>
                      <w:r w:rsidRPr="00305035">
                        <w:rPr>
                          <w:rFonts w:ascii="Times New Roman" w:hAnsi="Times New Roman" w:cs="Times New Roman"/>
                          <w:b/>
                          <w:bCs/>
                          <w:sz w:val="24"/>
                          <w:szCs w:val="24"/>
                        </w:rPr>
                        <w:t>Percentage = No of Respondents / Total Number of Respondents * 100</w:t>
                      </w:r>
                    </w:p>
                    <w:p w14:paraId="6A7ED76C" w14:textId="77777777" w:rsidR="006E2371" w:rsidRPr="00305035" w:rsidRDefault="006E2371" w:rsidP="006E2371">
                      <w:pPr>
                        <w:jc w:val="center"/>
                      </w:pPr>
                    </w:p>
                  </w:txbxContent>
                </v:textbox>
                <w10:wrap anchorx="margin"/>
              </v:rect>
            </w:pict>
          </mc:Fallback>
        </mc:AlternateContent>
      </w:r>
      <w:r w:rsidR="007F79EC" w:rsidRPr="007F79EC">
        <w:rPr>
          <w:rFonts w:ascii="Times New Roman" w:hAnsi="Times New Roman" w:cs="Times New Roman"/>
          <w:b/>
          <w:bCs/>
          <w:sz w:val="24"/>
          <w:szCs w:val="24"/>
        </w:rPr>
        <w:t>Percentage values were calculated as:</w:t>
      </w:r>
      <w:r w:rsidRPr="00305035">
        <w:rPr>
          <w:rFonts w:ascii="Times New Roman" w:hAnsi="Times New Roman" w:cs="Times New Roman"/>
          <w:b/>
          <w:bCs/>
          <w:sz w:val="24"/>
          <w:szCs w:val="24"/>
        </w:rPr>
        <w:tab/>
      </w:r>
    </w:p>
    <w:p w14:paraId="2599E880" w14:textId="52BAF8DB" w:rsidR="006E2371" w:rsidRPr="00305035" w:rsidRDefault="006E2371" w:rsidP="00417D22">
      <w:pPr>
        <w:spacing w:line="480" w:lineRule="auto"/>
        <w:rPr>
          <w:rFonts w:ascii="Times New Roman" w:hAnsi="Times New Roman" w:cs="Times New Roman"/>
          <w:b/>
          <w:bCs/>
          <w:sz w:val="24"/>
          <w:szCs w:val="24"/>
        </w:rPr>
      </w:pPr>
    </w:p>
    <w:p w14:paraId="56FB4765" w14:textId="77777777" w:rsidR="00D4379A" w:rsidRPr="00305035" w:rsidRDefault="00D4379A" w:rsidP="00D4379A">
      <w:pPr>
        <w:spacing w:line="480" w:lineRule="auto"/>
        <w:rPr>
          <w:rFonts w:ascii="Times New Roman" w:hAnsi="Times New Roman" w:cs="Times New Roman"/>
          <w:b/>
          <w:bCs/>
          <w:sz w:val="24"/>
          <w:szCs w:val="24"/>
        </w:rPr>
      </w:pPr>
      <w:r w:rsidRPr="00305035">
        <w:rPr>
          <w:rFonts w:ascii="Times New Roman" w:hAnsi="Times New Roman" w:cs="Times New Roman"/>
          <w:b/>
          <w:bCs/>
          <w:sz w:val="24"/>
          <w:szCs w:val="24"/>
        </w:rPr>
        <w:t>4. Results and Discussion</w:t>
      </w:r>
    </w:p>
    <w:p w14:paraId="00EED4F2" w14:textId="5F89F453" w:rsidR="00D4379A" w:rsidRPr="00417D22" w:rsidRDefault="00D4379A" w:rsidP="00D4379A">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4.1. </w:t>
      </w:r>
      <w:r w:rsidRPr="00417D22">
        <w:rPr>
          <w:rFonts w:ascii="Times New Roman" w:hAnsi="Times New Roman" w:cs="Times New Roman"/>
          <w:b/>
          <w:bCs/>
          <w:sz w:val="24"/>
          <w:szCs w:val="24"/>
        </w:rPr>
        <w:t>Age-wise Distribution of Survey Participants</w:t>
      </w:r>
    </w:p>
    <w:p w14:paraId="656C06ED" w14:textId="77777777" w:rsidR="00D4379A" w:rsidRPr="00305035" w:rsidRDefault="00D4379A" w:rsidP="00D4379A">
      <w:pPr>
        <w:spacing w:line="480" w:lineRule="auto"/>
        <w:rPr>
          <w:rFonts w:ascii="Times New Roman" w:hAnsi="Times New Roman" w:cs="Times New Roman"/>
          <w:sz w:val="24"/>
          <w:szCs w:val="24"/>
        </w:rPr>
      </w:pPr>
      <w:r w:rsidRPr="00417D22">
        <w:rPr>
          <w:rFonts w:ascii="Times New Roman" w:hAnsi="Times New Roman" w:cs="Times New Roman"/>
          <w:sz w:val="24"/>
          <w:szCs w:val="24"/>
        </w:rPr>
        <w:t>A survey was conducted to assess the socio-economic factors of farmers, with participants categorized according to their age groups. The distribution of participants is presented</w:t>
      </w:r>
      <w:r w:rsidRPr="00305035">
        <w:rPr>
          <w:rFonts w:ascii="Times New Roman" w:hAnsi="Times New Roman" w:cs="Times New Roman"/>
          <w:sz w:val="24"/>
          <w:szCs w:val="24"/>
        </w:rPr>
        <w:t>.</w:t>
      </w:r>
    </w:p>
    <w:tbl>
      <w:tblPr>
        <w:tblStyle w:val="TableGrid"/>
        <w:tblpPr w:leftFromText="180" w:rightFromText="180" w:vertAnchor="text" w:horzAnchor="margin" w:tblpY="-26"/>
        <w:tblW w:w="0" w:type="auto"/>
        <w:tblLook w:val="04A0" w:firstRow="1" w:lastRow="0" w:firstColumn="1" w:lastColumn="0" w:noHBand="0" w:noVBand="1"/>
      </w:tblPr>
      <w:tblGrid>
        <w:gridCol w:w="1558"/>
        <w:gridCol w:w="2265"/>
      </w:tblGrid>
      <w:tr w:rsidR="00D4379A" w:rsidRPr="00305035" w14:paraId="0EBB4FFF" w14:textId="77777777" w:rsidTr="006E7FCA">
        <w:trPr>
          <w:trHeight w:val="653"/>
        </w:trPr>
        <w:tc>
          <w:tcPr>
            <w:tcW w:w="1558" w:type="dxa"/>
          </w:tcPr>
          <w:p w14:paraId="7C52A915" w14:textId="77777777" w:rsidR="00D4379A" w:rsidRPr="00305035" w:rsidRDefault="00D4379A" w:rsidP="006E7FCA">
            <w:pPr>
              <w:jc w:val="center"/>
              <w:rPr>
                <w:rFonts w:ascii="Times New Roman" w:hAnsi="Times New Roman" w:cs="Times New Roman"/>
                <w:b/>
                <w:bCs/>
              </w:rPr>
            </w:pPr>
            <w:r w:rsidRPr="00305035">
              <w:rPr>
                <w:rFonts w:ascii="Times New Roman" w:hAnsi="Times New Roman" w:cs="Times New Roman"/>
                <w:b/>
                <w:bCs/>
              </w:rPr>
              <w:t>Age Group</w:t>
            </w:r>
          </w:p>
        </w:tc>
        <w:tc>
          <w:tcPr>
            <w:tcW w:w="2265" w:type="dxa"/>
          </w:tcPr>
          <w:p w14:paraId="0A2D8105" w14:textId="77777777" w:rsidR="00D4379A" w:rsidRPr="00305035" w:rsidRDefault="00D4379A" w:rsidP="006E7FCA">
            <w:pPr>
              <w:spacing w:line="480" w:lineRule="auto"/>
              <w:jc w:val="center"/>
              <w:rPr>
                <w:rFonts w:ascii="Times New Roman" w:hAnsi="Times New Roman" w:cs="Times New Roman"/>
                <w:b/>
                <w:bCs/>
                <w:sz w:val="24"/>
                <w:szCs w:val="24"/>
              </w:rPr>
            </w:pPr>
            <w:r w:rsidRPr="00305035">
              <w:rPr>
                <w:rFonts w:ascii="Times New Roman" w:hAnsi="Times New Roman" w:cs="Times New Roman"/>
                <w:b/>
                <w:bCs/>
                <w:sz w:val="24"/>
                <w:szCs w:val="24"/>
              </w:rPr>
              <w:t>No. of.  Participants</w:t>
            </w:r>
          </w:p>
        </w:tc>
      </w:tr>
      <w:tr w:rsidR="00D4379A" w:rsidRPr="00305035" w14:paraId="1B302442" w14:textId="77777777" w:rsidTr="006E7FCA">
        <w:trPr>
          <w:trHeight w:val="826"/>
        </w:trPr>
        <w:tc>
          <w:tcPr>
            <w:tcW w:w="1558" w:type="dxa"/>
          </w:tcPr>
          <w:p w14:paraId="42F89F6F" w14:textId="77777777" w:rsidR="00D4379A" w:rsidRPr="00305035" w:rsidRDefault="00D4379A" w:rsidP="006E7FCA">
            <w:pPr>
              <w:spacing w:line="480" w:lineRule="auto"/>
              <w:jc w:val="center"/>
              <w:rPr>
                <w:rFonts w:ascii="Times New Roman" w:hAnsi="Times New Roman" w:cs="Times New Roman"/>
                <w:sz w:val="24"/>
                <w:szCs w:val="24"/>
              </w:rPr>
            </w:pPr>
            <w:r w:rsidRPr="00305035">
              <w:rPr>
                <w:rFonts w:ascii="Times New Roman" w:hAnsi="Times New Roman" w:cs="Times New Roman"/>
                <w:sz w:val="24"/>
                <w:szCs w:val="24"/>
              </w:rPr>
              <w:t>25 – 39</w:t>
            </w:r>
          </w:p>
        </w:tc>
        <w:tc>
          <w:tcPr>
            <w:tcW w:w="2265" w:type="dxa"/>
          </w:tcPr>
          <w:p w14:paraId="57094F32" w14:textId="77777777" w:rsidR="00D4379A" w:rsidRPr="00305035" w:rsidRDefault="00D4379A" w:rsidP="006E7FCA">
            <w:pPr>
              <w:spacing w:line="480" w:lineRule="auto"/>
              <w:jc w:val="center"/>
              <w:rPr>
                <w:rFonts w:ascii="Times New Roman" w:hAnsi="Times New Roman" w:cs="Times New Roman"/>
                <w:sz w:val="24"/>
                <w:szCs w:val="24"/>
              </w:rPr>
            </w:pPr>
            <w:r w:rsidRPr="00305035">
              <w:rPr>
                <w:rFonts w:ascii="Times New Roman" w:hAnsi="Times New Roman" w:cs="Times New Roman"/>
                <w:sz w:val="24"/>
                <w:szCs w:val="24"/>
              </w:rPr>
              <w:t>5</w:t>
            </w:r>
          </w:p>
        </w:tc>
      </w:tr>
      <w:tr w:rsidR="00D4379A" w:rsidRPr="00305035" w14:paraId="5BFECEF3" w14:textId="77777777" w:rsidTr="006E7FCA">
        <w:trPr>
          <w:trHeight w:val="614"/>
        </w:trPr>
        <w:tc>
          <w:tcPr>
            <w:tcW w:w="1558" w:type="dxa"/>
          </w:tcPr>
          <w:p w14:paraId="20EBAB74" w14:textId="77777777" w:rsidR="00D4379A" w:rsidRPr="00305035" w:rsidRDefault="00D4379A" w:rsidP="006E7FCA">
            <w:pPr>
              <w:spacing w:line="480" w:lineRule="auto"/>
              <w:jc w:val="center"/>
              <w:rPr>
                <w:rFonts w:ascii="Times New Roman" w:hAnsi="Times New Roman" w:cs="Times New Roman"/>
                <w:sz w:val="24"/>
                <w:szCs w:val="24"/>
              </w:rPr>
            </w:pPr>
            <w:r w:rsidRPr="00305035">
              <w:rPr>
                <w:rFonts w:ascii="Times New Roman" w:hAnsi="Times New Roman" w:cs="Times New Roman"/>
                <w:sz w:val="24"/>
                <w:szCs w:val="24"/>
              </w:rPr>
              <w:t>40 – 50</w:t>
            </w:r>
          </w:p>
        </w:tc>
        <w:tc>
          <w:tcPr>
            <w:tcW w:w="2265" w:type="dxa"/>
          </w:tcPr>
          <w:p w14:paraId="0C1D52D1" w14:textId="77777777" w:rsidR="00D4379A" w:rsidRPr="00305035" w:rsidRDefault="00D4379A" w:rsidP="006E7FCA">
            <w:pPr>
              <w:spacing w:line="480" w:lineRule="auto"/>
              <w:jc w:val="center"/>
              <w:rPr>
                <w:rFonts w:ascii="Times New Roman" w:hAnsi="Times New Roman" w:cs="Times New Roman"/>
                <w:sz w:val="24"/>
                <w:szCs w:val="24"/>
              </w:rPr>
            </w:pPr>
            <w:r w:rsidRPr="00305035">
              <w:rPr>
                <w:rFonts w:ascii="Times New Roman" w:hAnsi="Times New Roman" w:cs="Times New Roman"/>
                <w:sz w:val="24"/>
                <w:szCs w:val="24"/>
              </w:rPr>
              <w:t>10</w:t>
            </w:r>
          </w:p>
        </w:tc>
      </w:tr>
      <w:tr w:rsidR="00D4379A" w:rsidRPr="00305035" w14:paraId="664ADF65" w14:textId="77777777" w:rsidTr="006E7FCA">
        <w:trPr>
          <w:trHeight w:val="639"/>
        </w:trPr>
        <w:tc>
          <w:tcPr>
            <w:tcW w:w="1558" w:type="dxa"/>
          </w:tcPr>
          <w:p w14:paraId="595634DD" w14:textId="77777777" w:rsidR="00D4379A" w:rsidRPr="00305035" w:rsidRDefault="00D4379A" w:rsidP="006E7FCA">
            <w:pPr>
              <w:spacing w:line="480" w:lineRule="auto"/>
              <w:jc w:val="center"/>
              <w:rPr>
                <w:rFonts w:ascii="Times New Roman" w:hAnsi="Times New Roman" w:cs="Times New Roman"/>
                <w:sz w:val="24"/>
                <w:szCs w:val="24"/>
              </w:rPr>
            </w:pPr>
            <w:r w:rsidRPr="00305035">
              <w:rPr>
                <w:rFonts w:ascii="Times New Roman" w:hAnsi="Times New Roman" w:cs="Times New Roman"/>
                <w:sz w:val="24"/>
                <w:szCs w:val="24"/>
              </w:rPr>
              <w:t>50 and Above</w:t>
            </w:r>
          </w:p>
        </w:tc>
        <w:tc>
          <w:tcPr>
            <w:tcW w:w="2265" w:type="dxa"/>
          </w:tcPr>
          <w:p w14:paraId="5B36F466" w14:textId="77777777" w:rsidR="00D4379A" w:rsidRPr="00305035" w:rsidRDefault="00D4379A" w:rsidP="006E7FCA">
            <w:pPr>
              <w:keepNext/>
              <w:spacing w:line="480" w:lineRule="auto"/>
              <w:jc w:val="center"/>
              <w:rPr>
                <w:rFonts w:ascii="Times New Roman" w:hAnsi="Times New Roman" w:cs="Times New Roman"/>
                <w:sz w:val="24"/>
                <w:szCs w:val="24"/>
              </w:rPr>
            </w:pPr>
            <w:r w:rsidRPr="00305035">
              <w:rPr>
                <w:rFonts w:ascii="Times New Roman" w:hAnsi="Times New Roman" w:cs="Times New Roman"/>
                <w:sz w:val="24"/>
                <w:szCs w:val="24"/>
              </w:rPr>
              <w:t>45</w:t>
            </w:r>
          </w:p>
        </w:tc>
      </w:tr>
      <w:tr w:rsidR="00D4379A" w:rsidRPr="00305035" w14:paraId="223F7861" w14:textId="77777777" w:rsidTr="006E7FCA">
        <w:trPr>
          <w:trHeight w:val="703"/>
        </w:trPr>
        <w:tc>
          <w:tcPr>
            <w:tcW w:w="1558" w:type="dxa"/>
          </w:tcPr>
          <w:p w14:paraId="61690692" w14:textId="77777777" w:rsidR="00D4379A" w:rsidRPr="00305035" w:rsidRDefault="00D4379A" w:rsidP="006E7FCA">
            <w:pPr>
              <w:spacing w:line="480" w:lineRule="auto"/>
              <w:jc w:val="center"/>
              <w:rPr>
                <w:rFonts w:ascii="Times New Roman" w:hAnsi="Times New Roman" w:cs="Times New Roman"/>
                <w:b/>
                <w:bCs/>
                <w:sz w:val="24"/>
                <w:szCs w:val="24"/>
              </w:rPr>
            </w:pPr>
            <w:r w:rsidRPr="00305035">
              <w:rPr>
                <w:rFonts w:ascii="Times New Roman" w:hAnsi="Times New Roman" w:cs="Times New Roman"/>
                <w:b/>
                <w:bCs/>
                <w:sz w:val="24"/>
                <w:szCs w:val="24"/>
              </w:rPr>
              <w:t xml:space="preserve">Total </w:t>
            </w:r>
          </w:p>
        </w:tc>
        <w:tc>
          <w:tcPr>
            <w:tcW w:w="2265" w:type="dxa"/>
          </w:tcPr>
          <w:p w14:paraId="152E09ED" w14:textId="77777777" w:rsidR="00D4379A" w:rsidRPr="00305035" w:rsidRDefault="00D4379A" w:rsidP="006E7FCA">
            <w:pPr>
              <w:keepNext/>
              <w:spacing w:line="480" w:lineRule="auto"/>
              <w:jc w:val="center"/>
              <w:rPr>
                <w:rFonts w:ascii="Times New Roman" w:hAnsi="Times New Roman" w:cs="Times New Roman"/>
                <w:b/>
                <w:bCs/>
                <w:sz w:val="24"/>
                <w:szCs w:val="24"/>
              </w:rPr>
            </w:pPr>
            <w:r w:rsidRPr="00305035">
              <w:rPr>
                <w:rFonts w:ascii="Times New Roman" w:hAnsi="Times New Roman" w:cs="Times New Roman"/>
                <w:b/>
                <w:bCs/>
                <w:sz w:val="24"/>
                <w:szCs w:val="24"/>
              </w:rPr>
              <w:t>60</w:t>
            </w:r>
          </w:p>
        </w:tc>
      </w:tr>
    </w:tbl>
    <w:p w14:paraId="77F9EC50" w14:textId="77777777" w:rsidR="00D4379A" w:rsidRPr="00A90E48" w:rsidRDefault="00D4379A" w:rsidP="00D4379A">
      <w:pPr>
        <w:spacing w:line="480" w:lineRule="auto"/>
        <w:rPr>
          <w:rFonts w:ascii="Times New Roman" w:hAnsi="Times New Roman" w:cs="Times New Roman"/>
          <w:sz w:val="24"/>
          <w:szCs w:val="24"/>
        </w:rPr>
      </w:pPr>
      <w:r w:rsidRPr="00305035">
        <w:rPr>
          <w:rFonts w:ascii="Times New Roman" w:hAnsi="Times New Roman" w:cs="Times New Roman"/>
          <w:sz w:val="24"/>
          <w:szCs w:val="24"/>
        </w:rPr>
        <w:drawing>
          <wp:anchor distT="0" distB="0" distL="114300" distR="114300" simplePos="0" relativeHeight="251701248" behindDoc="1" locked="0" layoutInCell="1" allowOverlap="1" wp14:anchorId="6B9819E0" wp14:editId="4F7F8AA7">
            <wp:simplePos x="0" y="0"/>
            <wp:positionH relativeFrom="column">
              <wp:posOffset>2590800</wp:posOffset>
            </wp:positionH>
            <wp:positionV relativeFrom="paragraph">
              <wp:posOffset>10795</wp:posOffset>
            </wp:positionV>
            <wp:extent cx="3223260" cy="2255520"/>
            <wp:effectExtent l="0" t="0" r="15240" b="11430"/>
            <wp:wrapNone/>
            <wp:docPr id="87974526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14:paraId="49EBB96A" w14:textId="77777777" w:rsidR="00D4379A" w:rsidRPr="00305035" w:rsidRDefault="00D4379A" w:rsidP="00D4379A">
      <w:pPr>
        <w:spacing w:line="480" w:lineRule="auto"/>
        <w:jc w:val="both"/>
        <w:rPr>
          <w:rFonts w:ascii="Times New Roman" w:hAnsi="Times New Roman" w:cs="Times New Roman"/>
          <w:sz w:val="24"/>
          <w:szCs w:val="24"/>
        </w:rPr>
      </w:pPr>
    </w:p>
    <w:p w14:paraId="7334F730" w14:textId="77777777" w:rsidR="00D4379A" w:rsidRPr="00305035" w:rsidRDefault="00D4379A" w:rsidP="00D4379A">
      <w:pPr>
        <w:rPr>
          <w:rFonts w:ascii="Times New Roman" w:hAnsi="Times New Roman" w:cs="Times New Roman"/>
          <w:sz w:val="24"/>
          <w:szCs w:val="24"/>
        </w:rPr>
      </w:pPr>
    </w:p>
    <w:p w14:paraId="51FBEAEA" w14:textId="77777777" w:rsidR="00D4379A" w:rsidRPr="00305035" w:rsidRDefault="00D4379A" w:rsidP="00D4379A">
      <w:pPr>
        <w:rPr>
          <w:rFonts w:ascii="Times New Roman" w:hAnsi="Times New Roman" w:cs="Times New Roman"/>
          <w:sz w:val="24"/>
          <w:szCs w:val="24"/>
        </w:rPr>
      </w:pPr>
    </w:p>
    <w:p w14:paraId="48700439" w14:textId="77777777" w:rsidR="00D4379A" w:rsidRPr="00305035" w:rsidRDefault="00D4379A" w:rsidP="00D4379A">
      <w:pPr>
        <w:rPr>
          <w:rFonts w:ascii="Times New Roman" w:hAnsi="Times New Roman" w:cs="Times New Roman"/>
          <w:sz w:val="24"/>
          <w:szCs w:val="24"/>
        </w:rPr>
      </w:pPr>
    </w:p>
    <w:p w14:paraId="0C5EEA28" w14:textId="77777777" w:rsidR="00D4379A" w:rsidRPr="00305035" w:rsidRDefault="00D4379A" w:rsidP="00D4379A">
      <w:pPr>
        <w:rPr>
          <w:rFonts w:ascii="Times New Roman" w:hAnsi="Times New Roman" w:cs="Times New Roman"/>
          <w:sz w:val="24"/>
          <w:szCs w:val="24"/>
        </w:rPr>
      </w:pPr>
    </w:p>
    <w:p w14:paraId="3049C624" w14:textId="77777777" w:rsidR="00D4379A" w:rsidRPr="00305035" w:rsidRDefault="00D4379A" w:rsidP="00D4379A">
      <w:pPr>
        <w:pStyle w:val="Caption"/>
        <w:framePr w:w="3781" w:hSpace="180" w:wrap="around" w:vAnchor="text" w:hAnchor="page" w:x="1573" w:y="330"/>
        <w:jc w:val="center"/>
        <w:rPr>
          <w:rFonts w:ascii="Times New Roman" w:hAnsi="Times New Roman" w:cs="Times New Roman"/>
          <w:b/>
          <w:bCs/>
          <w:color w:val="auto"/>
          <w:sz w:val="24"/>
          <w:szCs w:val="24"/>
        </w:rPr>
      </w:pPr>
      <w:r w:rsidRPr="00305035">
        <w:rPr>
          <w:rFonts w:ascii="Times New Roman" w:hAnsi="Times New Roman" w:cs="Times New Roman"/>
          <w:b/>
          <w:bCs/>
          <w:color w:val="auto"/>
          <w:sz w:val="24"/>
          <w:szCs w:val="24"/>
        </w:rPr>
        <w:t xml:space="preserve">Table </w:t>
      </w:r>
      <w:r w:rsidRPr="00305035">
        <w:rPr>
          <w:rFonts w:ascii="Times New Roman" w:hAnsi="Times New Roman" w:cs="Times New Roman"/>
          <w:b/>
          <w:bCs/>
          <w:color w:val="auto"/>
          <w:sz w:val="24"/>
          <w:szCs w:val="24"/>
        </w:rPr>
        <w:fldChar w:fldCharType="begin"/>
      </w:r>
      <w:r w:rsidRPr="00305035">
        <w:rPr>
          <w:rFonts w:ascii="Times New Roman" w:hAnsi="Times New Roman" w:cs="Times New Roman"/>
          <w:b/>
          <w:bCs/>
          <w:color w:val="auto"/>
          <w:sz w:val="24"/>
          <w:szCs w:val="24"/>
        </w:rPr>
        <w:instrText xml:space="preserve"> SEQ Table \* ARABIC </w:instrText>
      </w:r>
      <w:r w:rsidRPr="00305035">
        <w:rPr>
          <w:rFonts w:ascii="Times New Roman" w:hAnsi="Times New Roman" w:cs="Times New Roman"/>
          <w:b/>
          <w:bCs/>
          <w:color w:val="auto"/>
          <w:sz w:val="24"/>
          <w:szCs w:val="24"/>
        </w:rPr>
        <w:fldChar w:fldCharType="separate"/>
      </w:r>
      <w:r w:rsidRPr="00305035">
        <w:rPr>
          <w:rFonts w:ascii="Times New Roman" w:hAnsi="Times New Roman" w:cs="Times New Roman"/>
          <w:b/>
          <w:bCs/>
          <w:color w:val="auto"/>
          <w:sz w:val="24"/>
          <w:szCs w:val="24"/>
        </w:rPr>
        <w:t>1</w:t>
      </w:r>
      <w:r w:rsidRPr="00305035">
        <w:rPr>
          <w:rFonts w:ascii="Times New Roman" w:hAnsi="Times New Roman" w:cs="Times New Roman"/>
          <w:b/>
          <w:bCs/>
          <w:color w:val="auto"/>
          <w:sz w:val="24"/>
          <w:szCs w:val="24"/>
        </w:rPr>
        <w:fldChar w:fldCharType="end"/>
      </w:r>
      <w:r w:rsidRPr="00305035">
        <w:rPr>
          <w:rFonts w:ascii="Times New Roman" w:hAnsi="Times New Roman" w:cs="Times New Roman"/>
          <w:b/>
          <w:bCs/>
          <w:color w:val="auto"/>
          <w:sz w:val="24"/>
          <w:szCs w:val="24"/>
        </w:rPr>
        <w:t xml:space="preserve"> - Age Group-wise Participants of the Survey</w:t>
      </w:r>
    </w:p>
    <w:p w14:paraId="1943231B" w14:textId="77777777" w:rsidR="00D4379A" w:rsidRPr="00305035" w:rsidRDefault="00D4379A" w:rsidP="00D4379A">
      <w:pPr>
        <w:rPr>
          <w:rFonts w:ascii="Times New Roman" w:hAnsi="Times New Roman" w:cs="Times New Roman"/>
          <w:sz w:val="24"/>
          <w:szCs w:val="24"/>
        </w:rPr>
      </w:pPr>
      <w:r w:rsidRPr="00305035">
        <mc:AlternateContent>
          <mc:Choice Requires="wps">
            <w:drawing>
              <wp:anchor distT="0" distB="0" distL="114300" distR="114300" simplePos="0" relativeHeight="251702272" behindDoc="1" locked="0" layoutInCell="1" allowOverlap="1" wp14:anchorId="4B52A8B0" wp14:editId="3D1E52C9">
                <wp:simplePos x="0" y="0"/>
                <wp:positionH relativeFrom="column">
                  <wp:posOffset>2590800</wp:posOffset>
                </wp:positionH>
                <wp:positionV relativeFrom="paragraph">
                  <wp:posOffset>254635</wp:posOffset>
                </wp:positionV>
                <wp:extent cx="3223260" cy="419100"/>
                <wp:effectExtent l="0" t="0" r="0" b="0"/>
                <wp:wrapNone/>
                <wp:docPr id="1165009267" name="Text Box 1"/>
                <wp:cNvGraphicFramePr/>
                <a:graphic xmlns:a="http://schemas.openxmlformats.org/drawingml/2006/main">
                  <a:graphicData uri="http://schemas.microsoft.com/office/word/2010/wordprocessingShape">
                    <wps:wsp>
                      <wps:cNvSpPr txBox="1"/>
                      <wps:spPr>
                        <a:xfrm>
                          <a:off x="0" y="0"/>
                          <a:ext cx="3223260" cy="419100"/>
                        </a:xfrm>
                        <a:prstGeom prst="rect">
                          <a:avLst/>
                        </a:prstGeom>
                        <a:solidFill>
                          <a:prstClr val="white"/>
                        </a:solidFill>
                        <a:ln>
                          <a:noFill/>
                        </a:ln>
                      </wps:spPr>
                      <wps:txbx>
                        <w:txbxContent>
                          <w:p w14:paraId="015CEA1B" w14:textId="77777777" w:rsidR="00D4379A" w:rsidRPr="00305035" w:rsidRDefault="00D4379A" w:rsidP="00D4379A">
                            <w:pPr>
                              <w:pStyle w:val="Caption"/>
                              <w:jc w:val="center"/>
                              <w:rPr>
                                <w:rFonts w:ascii="Times New Roman" w:hAnsi="Times New Roman" w:cs="Times New Roman"/>
                                <w:b/>
                                <w:bCs/>
                                <w:color w:val="auto"/>
                                <w:sz w:val="24"/>
                                <w:szCs w:val="24"/>
                              </w:rPr>
                            </w:pPr>
                            <w:r w:rsidRPr="00305035">
                              <w:rPr>
                                <w:rFonts w:ascii="Times New Roman" w:hAnsi="Times New Roman" w:cs="Times New Roman"/>
                                <w:b/>
                                <w:bCs/>
                                <w:color w:val="auto"/>
                                <w:sz w:val="24"/>
                                <w:szCs w:val="24"/>
                              </w:rPr>
                              <w:t>Figure 1 - Percentage Distribution of Participants by Age Group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B52A8B0" id="_x0000_t202" coordsize="21600,21600" o:spt="202" path="m,l,21600r21600,l21600,xe">
                <v:stroke joinstyle="miter"/>
                <v:path gradientshapeok="t" o:connecttype="rect"/>
              </v:shapetype>
              <v:shape id="Text Box 1" o:spid="_x0000_s1027" type="#_x0000_t202" style="position:absolute;margin-left:204pt;margin-top:20.05pt;width:253.8pt;height:33pt;z-index:-251614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" stroked="f">
                <v:textbox inset="0,0,0,0">
                  <w:txbxContent>
                    <w:p w14:paraId="015CEA1B" w14:textId="77777777" w:rsidR="00D4379A" w:rsidRPr="00305035" w:rsidRDefault="00D4379A" w:rsidP="00D4379A">
                      <w:pPr>
                        <w:pStyle w:val="Caption"/>
                        <w:jc w:val="center"/>
                        <w:rPr>
                          <w:rFonts w:ascii="Times New Roman" w:hAnsi="Times New Roman" w:cs="Times New Roman"/>
                          <w:b/>
                          <w:bCs/>
                          <w:color w:val="auto"/>
                          <w:sz w:val="24"/>
                          <w:szCs w:val="24"/>
                        </w:rPr>
                      </w:pPr>
                      <w:r w:rsidRPr="00305035">
                        <w:rPr>
                          <w:rFonts w:ascii="Times New Roman" w:hAnsi="Times New Roman" w:cs="Times New Roman"/>
                          <w:b/>
                          <w:bCs/>
                          <w:color w:val="auto"/>
                          <w:sz w:val="24"/>
                          <w:szCs w:val="24"/>
                        </w:rPr>
                        <w:t>Figure 1 - Percentage Distribution of Participants by Age Group</w:t>
                      </w:r>
                    </w:p>
                  </w:txbxContent>
                </v:textbox>
              </v:shape>
            </w:pict>
          </mc:Fallback>
        </mc:AlternateContent>
      </w:r>
    </w:p>
    <w:p w14:paraId="3FA675FC" w14:textId="77777777" w:rsidR="00D4379A" w:rsidRPr="00305035" w:rsidRDefault="00D4379A" w:rsidP="00D4379A">
      <w:pPr>
        <w:rPr>
          <w:rFonts w:ascii="Times New Roman" w:hAnsi="Times New Roman" w:cs="Times New Roman"/>
          <w:sz w:val="24"/>
          <w:szCs w:val="24"/>
        </w:rPr>
      </w:pPr>
    </w:p>
    <w:p w14:paraId="700920B5" w14:textId="77777777" w:rsidR="00D4379A" w:rsidRPr="00305035" w:rsidRDefault="00D4379A" w:rsidP="00D4379A">
      <w:pPr>
        <w:rPr>
          <w:rFonts w:ascii="Times New Roman" w:hAnsi="Times New Roman" w:cs="Times New Roman"/>
          <w:sz w:val="24"/>
          <w:szCs w:val="24"/>
        </w:rPr>
      </w:pPr>
    </w:p>
    <w:p w14:paraId="2938A9A1" w14:textId="77777777" w:rsidR="00D4379A" w:rsidRPr="00305035" w:rsidRDefault="00D4379A" w:rsidP="00D4379A">
      <w:pPr>
        <w:tabs>
          <w:tab w:val="left" w:pos="2136"/>
        </w:tabs>
        <w:spacing w:line="360" w:lineRule="auto"/>
        <w:jc w:val="both"/>
        <w:rPr>
          <w:rFonts w:ascii="Times New Roman" w:hAnsi="Times New Roman" w:cs="Times New Roman"/>
          <w:b/>
          <w:bCs/>
          <w:sz w:val="24"/>
          <w:szCs w:val="24"/>
        </w:rPr>
      </w:pPr>
      <w:r w:rsidRPr="00305035">
        <w:rPr>
          <w:rFonts w:ascii="Times New Roman" w:hAnsi="Times New Roman" w:cs="Times New Roman"/>
          <w:b/>
          <w:bCs/>
          <w:sz w:val="24"/>
          <w:szCs w:val="24"/>
        </w:rPr>
        <w:t>Discussion</w:t>
      </w:r>
    </w:p>
    <w:p w14:paraId="7DD05249" w14:textId="77777777" w:rsidR="00D4379A" w:rsidRPr="00305035" w:rsidRDefault="00D4379A" w:rsidP="00D4379A">
      <w:pPr>
        <w:tabs>
          <w:tab w:val="left" w:pos="2136"/>
        </w:tabs>
        <w:spacing w:line="360" w:lineRule="auto"/>
        <w:jc w:val="both"/>
        <w:rPr>
          <w:rFonts w:ascii="Times New Roman" w:hAnsi="Times New Roman" w:cs="Times New Roman"/>
          <w:sz w:val="24"/>
          <w:szCs w:val="24"/>
        </w:rPr>
      </w:pPr>
      <w:r w:rsidRPr="00305035">
        <w:rPr>
          <w:rFonts w:ascii="Times New Roman" w:hAnsi="Times New Roman" w:cs="Times New Roman"/>
          <w:sz w:val="24"/>
          <w:szCs w:val="24"/>
        </w:rPr>
        <w:t>The results show that older farmers (50 years and above) constitute the majority of participants, indicating their significant involvement in agricultural practices. Younger farmers (25–39 years) are underrepresented, which may suggest limited engagement in certain agricultural activities. These findings are relevant for designing targeted interventions to engage farmers across all age groups.</w:t>
      </w:r>
    </w:p>
    <w:p w14:paraId="3BF1C1B1" w14:textId="18EC2848" w:rsidR="00D4379A" w:rsidRPr="005446EA" w:rsidRDefault="00D4379A" w:rsidP="00D4379A">
      <w:pPr>
        <w:tabs>
          <w:tab w:val="left" w:pos="2136"/>
        </w:tabs>
        <w:spacing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4.2. </w:t>
      </w:r>
      <w:r w:rsidRPr="005446EA">
        <w:rPr>
          <w:rFonts w:ascii="Times New Roman" w:hAnsi="Times New Roman" w:cs="Times New Roman"/>
          <w:b/>
          <w:bCs/>
          <w:sz w:val="24"/>
          <w:szCs w:val="24"/>
        </w:rPr>
        <w:t>Literacy Rate of Respondents</w:t>
      </w:r>
    </w:p>
    <w:p w14:paraId="44A070DA" w14:textId="77777777" w:rsidR="00D4379A" w:rsidRPr="005446EA" w:rsidRDefault="00D4379A" w:rsidP="00D4379A">
      <w:pPr>
        <w:tabs>
          <w:tab w:val="left" w:pos="2136"/>
        </w:tabs>
        <w:spacing w:line="360" w:lineRule="auto"/>
        <w:jc w:val="both"/>
        <w:rPr>
          <w:rFonts w:ascii="Times New Roman" w:hAnsi="Times New Roman" w:cs="Times New Roman"/>
          <w:sz w:val="24"/>
          <w:szCs w:val="24"/>
        </w:rPr>
      </w:pPr>
      <w:r w:rsidRPr="00305035">
        <w:rPr>
          <w:rFonts w:ascii="Times New Roman" w:hAnsi="Times New Roman" w:cs="Times New Roman"/>
          <w:sz w:val="24"/>
          <w:szCs w:val="24"/>
        </w:rPr>
        <w:drawing>
          <wp:anchor distT="0" distB="0" distL="114300" distR="114300" simplePos="0" relativeHeight="251703296" behindDoc="1" locked="0" layoutInCell="1" allowOverlap="1" wp14:anchorId="4F5AC39B" wp14:editId="22FEF107">
            <wp:simplePos x="0" y="0"/>
            <wp:positionH relativeFrom="column">
              <wp:posOffset>2537460</wp:posOffset>
            </wp:positionH>
            <wp:positionV relativeFrom="paragraph">
              <wp:posOffset>572770</wp:posOffset>
            </wp:positionV>
            <wp:extent cx="3794760" cy="2331720"/>
            <wp:effectExtent l="0" t="0" r="15240" b="11430"/>
            <wp:wrapNone/>
            <wp:docPr id="164168822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Pr="005446EA">
        <w:rPr>
          <w:rFonts w:ascii="Times New Roman" w:hAnsi="Times New Roman" w:cs="Times New Roman"/>
          <w:sz w:val="24"/>
          <w:szCs w:val="24"/>
        </w:rPr>
        <w:t>The educational status of the surveyed farmers was recorded to assess literacy levels. The distribution of respondents according to their education is presented</w:t>
      </w:r>
    </w:p>
    <w:tbl>
      <w:tblPr>
        <w:tblStyle w:val="TableGrid"/>
        <w:tblpPr w:leftFromText="180" w:rightFromText="180" w:vertAnchor="text" w:tblpY="1"/>
        <w:tblOverlap w:val="never"/>
        <w:tblW w:w="0" w:type="auto"/>
        <w:tblLook w:val="04A0" w:firstRow="1" w:lastRow="0" w:firstColumn="1" w:lastColumn="0" w:noHBand="0" w:noVBand="1"/>
      </w:tblPr>
      <w:tblGrid>
        <w:gridCol w:w="1701"/>
        <w:gridCol w:w="1849"/>
      </w:tblGrid>
      <w:tr w:rsidR="00D4379A" w:rsidRPr="00305035" w14:paraId="46DC6C0D" w14:textId="77777777" w:rsidTr="006E7FCA">
        <w:trPr>
          <w:trHeight w:val="1013"/>
        </w:trPr>
        <w:tc>
          <w:tcPr>
            <w:tcW w:w="1701" w:type="dxa"/>
          </w:tcPr>
          <w:p w14:paraId="5A1634F5" w14:textId="77777777" w:rsidR="00D4379A" w:rsidRPr="00305035" w:rsidRDefault="00D4379A" w:rsidP="006E7FCA">
            <w:pPr>
              <w:jc w:val="center"/>
              <w:rPr>
                <w:rFonts w:ascii="Times New Roman" w:hAnsi="Times New Roman" w:cs="Times New Roman"/>
                <w:b/>
                <w:bCs/>
                <w:sz w:val="24"/>
                <w:szCs w:val="24"/>
              </w:rPr>
            </w:pPr>
            <w:r w:rsidRPr="00305035">
              <w:rPr>
                <w:rFonts w:ascii="Times New Roman" w:hAnsi="Times New Roman" w:cs="Times New Roman"/>
                <w:b/>
                <w:bCs/>
                <w:sz w:val="24"/>
                <w:szCs w:val="24"/>
              </w:rPr>
              <w:t>Education Level</w:t>
            </w:r>
          </w:p>
        </w:tc>
        <w:tc>
          <w:tcPr>
            <w:tcW w:w="1849" w:type="dxa"/>
          </w:tcPr>
          <w:p w14:paraId="20FA8C13" w14:textId="77777777" w:rsidR="00D4379A" w:rsidRPr="00305035" w:rsidRDefault="00D4379A" w:rsidP="006E7FCA">
            <w:pPr>
              <w:tabs>
                <w:tab w:val="left" w:pos="2136"/>
              </w:tabs>
              <w:spacing w:line="360" w:lineRule="auto"/>
              <w:jc w:val="center"/>
              <w:rPr>
                <w:rFonts w:ascii="Times New Roman" w:hAnsi="Times New Roman" w:cs="Times New Roman"/>
                <w:sz w:val="24"/>
                <w:szCs w:val="24"/>
              </w:rPr>
            </w:pPr>
            <w:r w:rsidRPr="00305035">
              <w:rPr>
                <w:rFonts w:ascii="Times New Roman" w:hAnsi="Times New Roman" w:cs="Times New Roman"/>
                <w:b/>
                <w:bCs/>
                <w:sz w:val="24"/>
                <w:szCs w:val="24"/>
              </w:rPr>
              <w:t>No. of. Participants</w:t>
            </w:r>
          </w:p>
        </w:tc>
      </w:tr>
      <w:tr w:rsidR="00D4379A" w:rsidRPr="00305035" w14:paraId="1F95676F" w14:textId="77777777" w:rsidTr="006E7FCA">
        <w:trPr>
          <w:trHeight w:val="499"/>
        </w:trPr>
        <w:tc>
          <w:tcPr>
            <w:tcW w:w="1701" w:type="dxa"/>
          </w:tcPr>
          <w:p w14:paraId="1129FC94" w14:textId="77777777" w:rsidR="00D4379A" w:rsidRPr="00305035" w:rsidRDefault="00D4379A" w:rsidP="006E7FCA">
            <w:pPr>
              <w:tabs>
                <w:tab w:val="left" w:pos="2136"/>
              </w:tabs>
              <w:spacing w:line="360" w:lineRule="auto"/>
              <w:jc w:val="center"/>
              <w:rPr>
                <w:rFonts w:ascii="Times New Roman" w:hAnsi="Times New Roman" w:cs="Times New Roman"/>
                <w:sz w:val="24"/>
                <w:szCs w:val="24"/>
              </w:rPr>
            </w:pPr>
            <w:r w:rsidRPr="00305035">
              <w:rPr>
                <w:rFonts w:ascii="Times New Roman" w:hAnsi="Times New Roman" w:cs="Times New Roman"/>
                <w:sz w:val="24"/>
                <w:szCs w:val="24"/>
              </w:rPr>
              <w:t>Graduate</w:t>
            </w:r>
          </w:p>
        </w:tc>
        <w:tc>
          <w:tcPr>
            <w:tcW w:w="1849" w:type="dxa"/>
          </w:tcPr>
          <w:p w14:paraId="12CB62AE" w14:textId="77777777" w:rsidR="00D4379A" w:rsidRPr="00305035" w:rsidRDefault="00D4379A" w:rsidP="006E7FCA">
            <w:pPr>
              <w:tabs>
                <w:tab w:val="left" w:pos="2136"/>
              </w:tabs>
              <w:spacing w:line="360" w:lineRule="auto"/>
              <w:jc w:val="center"/>
              <w:rPr>
                <w:rFonts w:ascii="Times New Roman" w:hAnsi="Times New Roman" w:cs="Times New Roman"/>
                <w:sz w:val="24"/>
                <w:szCs w:val="24"/>
              </w:rPr>
            </w:pPr>
            <w:r w:rsidRPr="00305035">
              <w:rPr>
                <w:rFonts w:ascii="Times New Roman" w:hAnsi="Times New Roman" w:cs="Times New Roman"/>
                <w:sz w:val="24"/>
                <w:szCs w:val="24"/>
              </w:rPr>
              <w:t>22</w:t>
            </w:r>
          </w:p>
        </w:tc>
      </w:tr>
      <w:tr w:rsidR="00D4379A" w:rsidRPr="00305035" w14:paraId="4185D149" w14:textId="77777777" w:rsidTr="006E7FCA">
        <w:trPr>
          <w:trHeight w:val="499"/>
        </w:trPr>
        <w:tc>
          <w:tcPr>
            <w:tcW w:w="1701" w:type="dxa"/>
          </w:tcPr>
          <w:p w14:paraId="41ADC5F8" w14:textId="77777777" w:rsidR="00D4379A" w:rsidRPr="00305035" w:rsidRDefault="00D4379A" w:rsidP="006E7FCA">
            <w:pPr>
              <w:tabs>
                <w:tab w:val="left" w:pos="2136"/>
              </w:tabs>
              <w:spacing w:line="360" w:lineRule="auto"/>
              <w:jc w:val="center"/>
              <w:rPr>
                <w:rFonts w:ascii="Times New Roman" w:hAnsi="Times New Roman" w:cs="Times New Roman"/>
                <w:sz w:val="24"/>
                <w:szCs w:val="24"/>
              </w:rPr>
            </w:pPr>
            <w:r w:rsidRPr="00305035">
              <w:rPr>
                <w:rFonts w:ascii="Times New Roman" w:hAnsi="Times New Roman" w:cs="Times New Roman"/>
                <w:sz w:val="24"/>
                <w:szCs w:val="24"/>
              </w:rPr>
              <w:t>10th Standard</w:t>
            </w:r>
          </w:p>
        </w:tc>
        <w:tc>
          <w:tcPr>
            <w:tcW w:w="1849" w:type="dxa"/>
          </w:tcPr>
          <w:p w14:paraId="4290A139" w14:textId="77777777" w:rsidR="00D4379A" w:rsidRPr="00305035" w:rsidRDefault="00D4379A" w:rsidP="006E7FCA">
            <w:pPr>
              <w:tabs>
                <w:tab w:val="left" w:pos="2136"/>
              </w:tabs>
              <w:spacing w:line="360" w:lineRule="auto"/>
              <w:jc w:val="center"/>
              <w:rPr>
                <w:rFonts w:ascii="Times New Roman" w:hAnsi="Times New Roman" w:cs="Times New Roman"/>
                <w:sz w:val="24"/>
                <w:szCs w:val="24"/>
              </w:rPr>
            </w:pPr>
            <w:r w:rsidRPr="00305035">
              <w:rPr>
                <w:rFonts w:ascii="Times New Roman" w:hAnsi="Times New Roman" w:cs="Times New Roman"/>
                <w:sz w:val="24"/>
                <w:szCs w:val="24"/>
              </w:rPr>
              <w:t>4</w:t>
            </w:r>
          </w:p>
        </w:tc>
      </w:tr>
      <w:tr w:rsidR="00D4379A" w:rsidRPr="00305035" w14:paraId="60B40755" w14:textId="77777777" w:rsidTr="006E7FCA">
        <w:trPr>
          <w:trHeight w:val="513"/>
        </w:trPr>
        <w:tc>
          <w:tcPr>
            <w:tcW w:w="1701" w:type="dxa"/>
          </w:tcPr>
          <w:p w14:paraId="45BAC598" w14:textId="77777777" w:rsidR="00D4379A" w:rsidRPr="00305035" w:rsidRDefault="00D4379A" w:rsidP="006E7FCA">
            <w:pPr>
              <w:tabs>
                <w:tab w:val="left" w:pos="2136"/>
              </w:tabs>
              <w:spacing w:line="360" w:lineRule="auto"/>
              <w:jc w:val="center"/>
              <w:rPr>
                <w:rFonts w:ascii="Times New Roman" w:hAnsi="Times New Roman" w:cs="Times New Roman"/>
                <w:sz w:val="24"/>
                <w:szCs w:val="24"/>
              </w:rPr>
            </w:pPr>
            <w:r w:rsidRPr="00305035">
              <w:rPr>
                <w:rFonts w:ascii="Times New Roman" w:hAnsi="Times New Roman" w:cs="Times New Roman"/>
                <w:sz w:val="24"/>
                <w:szCs w:val="24"/>
              </w:rPr>
              <w:t>12th Standard</w:t>
            </w:r>
          </w:p>
        </w:tc>
        <w:tc>
          <w:tcPr>
            <w:tcW w:w="1849" w:type="dxa"/>
          </w:tcPr>
          <w:p w14:paraId="293B3D86" w14:textId="77777777" w:rsidR="00D4379A" w:rsidRPr="00305035" w:rsidRDefault="00D4379A" w:rsidP="006E7FCA">
            <w:pPr>
              <w:tabs>
                <w:tab w:val="left" w:pos="2136"/>
              </w:tabs>
              <w:spacing w:line="360" w:lineRule="auto"/>
              <w:jc w:val="center"/>
              <w:rPr>
                <w:rFonts w:ascii="Times New Roman" w:hAnsi="Times New Roman" w:cs="Times New Roman"/>
                <w:sz w:val="24"/>
                <w:szCs w:val="24"/>
              </w:rPr>
            </w:pPr>
            <w:r w:rsidRPr="00305035">
              <w:rPr>
                <w:rFonts w:ascii="Times New Roman" w:hAnsi="Times New Roman" w:cs="Times New Roman"/>
                <w:sz w:val="24"/>
                <w:szCs w:val="24"/>
              </w:rPr>
              <w:t>33</w:t>
            </w:r>
          </w:p>
        </w:tc>
      </w:tr>
      <w:tr w:rsidR="00D4379A" w:rsidRPr="00305035" w14:paraId="424CED7A" w14:textId="77777777" w:rsidTr="006E7FCA">
        <w:trPr>
          <w:trHeight w:val="499"/>
        </w:trPr>
        <w:tc>
          <w:tcPr>
            <w:tcW w:w="1701" w:type="dxa"/>
          </w:tcPr>
          <w:p w14:paraId="758A36EB" w14:textId="77777777" w:rsidR="00D4379A" w:rsidRPr="00305035" w:rsidRDefault="00D4379A" w:rsidP="006E7FCA">
            <w:pPr>
              <w:tabs>
                <w:tab w:val="left" w:pos="2136"/>
              </w:tabs>
              <w:spacing w:line="360" w:lineRule="auto"/>
              <w:jc w:val="center"/>
              <w:rPr>
                <w:rFonts w:ascii="Times New Roman" w:hAnsi="Times New Roman" w:cs="Times New Roman"/>
                <w:sz w:val="24"/>
                <w:szCs w:val="24"/>
              </w:rPr>
            </w:pPr>
            <w:r w:rsidRPr="00305035">
              <w:rPr>
                <w:rFonts w:ascii="Times New Roman" w:hAnsi="Times New Roman" w:cs="Times New Roman"/>
                <w:sz w:val="24"/>
                <w:szCs w:val="24"/>
              </w:rPr>
              <w:t>Illiterate</w:t>
            </w:r>
          </w:p>
        </w:tc>
        <w:tc>
          <w:tcPr>
            <w:tcW w:w="1849" w:type="dxa"/>
          </w:tcPr>
          <w:p w14:paraId="5269DCEA" w14:textId="77777777" w:rsidR="00D4379A" w:rsidRPr="00305035" w:rsidRDefault="00D4379A" w:rsidP="006E7FCA">
            <w:pPr>
              <w:tabs>
                <w:tab w:val="left" w:pos="2136"/>
              </w:tabs>
              <w:spacing w:line="360" w:lineRule="auto"/>
              <w:jc w:val="center"/>
              <w:rPr>
                <w:rFonts w:ascii="Times New Roman" w:hAnsi="Times New Roman" w:cs="Times New Roman"/>
                <w:sz w:val="24"/>
                <w:szCs w:val="24"/>
              </w:rPr>
            </w:pPr>
            <w:r w:rsidRPr="00305035">
              <w:rPr>
                <w:rFonts w:ascii="Times New Roman" w:hAnsi="Times New Roman" w:cs="Times New Roman"/>
                <w:sz w:val="24"/>
                <w:szCs w:val="24"/>
              </w:rPr>
              <w:t>1</w:t>
            </w:r>
          </w:p>
        </w:tc>
      </w:tr>
      <w:tr w:rsidR="00D4379A" w:rsidRPr="00305035" w14:paraId="4E689313" w14:textId="77777777" w:rsidTr="006E7FCA">
        <w:trPr>
          <w:trHeight w:val="499"/>
        </w:trPr>
        <w:tc>
          <w:tcPr>
            <w:tcW w:w="1701" w:type="dxa"/>
          </w:tcPr>
          <w:p w14:paraId="1C3F2D73" w14:textId="77777777" w:rsidR="00D4379A" w:rsidRPr="00305035" w:rsidRDefault="00D4379A" w:rsidP="006E7FCA">
            <w:pPr>
              <w:tabs>
                <w:tab w:val="left" w:pos="2136"/>
              </w:tabs>
              <w:spacing w:line="360" w:lineRule="auto"/>
              <w:jc w:val="center"/>
              <w:rPr>
                <w:rFonts w:ascii="Times New Roman" w:hAnsi="Times New Roman" w:cs="Times New Roman"/>
                <w:sz w:val="24"/>
                <w:szCs w:val="24"/>
              </w:rPr>
            </w:pPr>
            <w:r w:rsidRPr="00305035">
              <w:rPr>
                <w:rFonts w:ascii="Times New Roman" w:hAnsi="Times New Roman" w:cs="Times New Roman"/>
                <w:sz w:val="24"/>
                <w:szCs w:val="24"/>
              </w:rPr>
              <w:t>Total</w:t>
            </w:r>
          </w:p>
        </w:tc>
        <w:tc>
          <w:tcPr>
            <w:tcW w:w="1849" w:type="dxa"/>
          </w:tcPr>
          <w:p w14:paraId="3EBF5D3C" w14:textId="77777777" w:rsidR="00D4379A" w:rsidRPr="00305035" w:rsidRDefault="00D4379A" w:rsidP="006E7FCA">
            <w:pPr>
              <w:tabs>
                <w:tab w:val="left" w:pos="2136"/>
              </w:tabs>
              <w:spacing w:line="360" w:lineRule="auto"/>
              <w:jc w:val="center"/>
              <w:rPr>
                <w:rFonts w:ascii="Times New Roman" w:hAnsi="Times New Roman" w:cs="Times New Roman"/>
                <w:sz w:val="24"/>
                <w:szCs w:val="24"/>
              </w:rPr>
            </w:pPr>
            <w:r w:rsidRPr="00305035">
              <w:rPr>
                <w:rFonts w:ascii="Times New Roman" w:hAnsi="Times New Roman" w:cs="Times New Roman"/>
                <w:sz w:val="24"/>
                <w:szCs w:val="24"/>
              </w:rPr>
              <w:t>60</w:t>
            </w:r>
          </w:p>
        </w:tc>
      </w:tr>
    </w:tbl>
    <w:p w14:paraId="1CDF164C" w14:textId="77777777" w:rsidR="00D4379A" w:rsidRPr="00305035" w:rsidRDefault="00D4379A" w:rsidP="00D4379A">
      <w:pPr>
        <w:pStyle w:val="Caption"/>
        <w:framePr w:w="3781" w:h="577" w:hRule="exact" w:hSpace="180" w:wrap="around" w:vAnchor="text" w:hAnchor="page" w:x="1261" w:y="3647"/>
        <w:jc w:val="center"/>
        <w:rPr>
          <w:rFonts w:ascii="Times New Roman" w:hAnsi="Times New Roman" w:cs="Times New Roman"/>
          <w:b/>
          <w:bCs/>
          <w:color w:val="auto"/>
          <w:sz w:val="24"/>
          <w:szCs w:val="24"/>
        </w:rPr>
      </w:pPr>
      <w:r w:rsidRPr="00305035">
        <w:rPr>
          <w:rFonts w:ascii="Times New Roman" w:hAnsi="Times New Roman" w:cs="Times New Roman"/>
          <w:b/>
          <w:bCs/>
          <w:color w:val="auto"/>
          <w:sz w:val="24"/>
          <w:szCs w:val="24"/>
        </w:rPr>
        <w:t>Table 2 - Literacy Rate of Respondents</w:t>
      </w:r>
    </w:p>
    <w:p w14:paraId="356725A5" w14:textId="77777777" w:rsidR="00D4379A" w:rsidRPr="00305035" w:rsidRDefault="00D4379A" w:rsidP="00D4379A">
      <w:pPr>
        <w:tabs>
          <w:tab w:val="left" w:pos="2136"/>
          <w:tab w:val="center" w:pos="2643"/>
          <w:tab w:val="right" w:pos="5286"/>
        </w:tabs>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305035">
        <mc:AlternateContent>
          <mc:Choice Requires="wps">
            <w:drawing>
              <wp:anchor distT="0" distB="0" distL="114300" distR="114300" simplePos="0" relativeHeight="251704320" behindDoc="1" locked="0" layoutInCell="1" allowOverlap="1" wp14:anchorId="22D81A84" wp14:editId="577E0BEC">
                <wp:simplePos x="0" y="0"/>
                <wp:positionH relativeFrom="column">
                  <wp:posOffset>2705100</wp:posOffset>
                </wp:positionH>
                <wp:positionV relativeFrom="paragraph">
                  <wp:posOffset>2361565</wp:posOffset>
                </wp:positionV>
                <wp:extent cx="3223260" cy="419100"/>
                <wp:effectExtent l="0" t="0" r="0" b="0"/>
                <wp:wrapNone/>
                <wp:docPr id="439554513" name="Text Box 1"/>
                <wp:cNvGraphicFramePr/>
                <a:graphic xmlns:a="http://schemas.openxmlformats.org/drawingml/2006/main">
                  <a:graphicData uri="http://schemas.microsoft.com/office/word/2010/wordprocessingShape">
                    <wps:wsp>
                      <wps:cNvSpPr txBox="1"/>
                      <wps:spPr>
                        <a:xfrm>
                          <a:off x="0" y="0"/>
                          <a:ext cx="3223260" cy="419100"/>
                        </a:xfrm>
                        <a:prstGeom prst="rect">
                          <a:avLst/>
                        </a:prstGeom>
                        <a:solidFill>
                          <a:prstClr val="white"/>
                        </a:solidFill>
                        <a:ln>
                          <a:noFill/>
                        </a:ln>
                      </wps:spPr>
                      <wps:txbx>
                        <w:txbxContent>
                          <w:p w14:paraId="2A853E7E" w14:textId="77777777" w:rsidR="00D4379A" w:rsidRPr="00305035" w:rsidRDefault="00D4379A" w:rsidP="00D4379A">
                            <w:pPr>
                              <w:pStyle w:val="Caption"/>
                              <w:jc w:val="center"/>
                              <w:rPr>
                                <w:rFonts w:ascii="Times New Roman" w:hAnsi="Times New Roman" w:cs="Times New Roman"/>
                                <w:b/>
                                <w:bCs/>
                                <w:color w:val="auto"/>
                                <w:sz w:val="24"/>
                                <w:szCs w:val="24"/>
                              </w:rPr>
                            </w:pPr>
                            <w:r w:rsidRPr="00305035">
                              <w:rPr>
                                <w:rFonts w:ascii="Times New Roman" w:hAnsi="Times New Roman" w:cs="Times New Roman"/>
                                <w:b/>
                                <w:bCs/>
                                <w:color w:val="auto"/>
                                <w:sz w:val="24"/>
                                <w:szCs w:val="24"/>
                              </w:rPr>
                              <w:t xml:space="preserve">Figure </w:t>
                            </w:r>
                            <w:r w:rsidRPr="00305035">
                              <w:rPr>
                                <w:rFonts w:ascii="Times New Roman" w:hAnsi="Times New Roman" w:cs="Times New Roman"/>
                                <w:b/>
                                <w:bCs/>
                                <w:color w:val="auto"/>
                                <w:sz w:val="24"/>
                                <w:szCs w:val="24"/>
                              </w:rPr>
                              <w:fldChar w:fldCharType="begin"/>
                            </w:r>
                            <w:r w:rsidRPr="00305035">
                              <w:rPr>
                                <w:rFonts w:ascii="Times New Roman" w:hAnsi="Times New Roman" w:cs="Times New Roman"/>
                                <w:b/>
                                <w:bCs/>
                                <w:color w:val="auto"/>
                                <w:sz w:val="24"/>
                                <w:szCs w:val="24"/>
                              </w:rPr>
                              <w:instrText xml:space="preserve"> SEQ Figure \* ARABIC </w:instrText>
                            </w:r>
                            <w:r w:rsidRPr="00305035">
                              <w:rPr>
                                <w:rFonts w:ascii="Times New Roman" w:hAnsi="Times New Roman" w:cs="Times New Roman"/>
                                <w:b/>
                                <w:bCs/>
                                <w:color w:val="auto"/>
                                <w:sz w:val="24"/>
                                <w:szCs w:val="24"/>
                              </w:rPr>
                              <w:fldChar w:fldCharType="separate"/>
                            </w:r>
                            <w:r w:rsidRPr="00305035">
                              <w:rPr>
                                <w:rFonts w:ascii="Times New Roman" w:hAnsi="Times New Roman" w:cs="Times New Roman"/>
                                <w:b/>
                                <w:bCs/>
                                <w:color w:val="auto"/>
                                <w:sz w:val="24"/>
                                <w:szCs w:val="24"/>
                              </w:rPr>
                              <w:t>2</w:t>
                            </w:r>
                            <w:r w:rsidRPr="00305035">
                              <w:rPr>
                                <w:rFonts w:ascii="Times New Roman" w:hAnsi="Times New Roman" w:cs="Times New Roman"/>
                                <w:b/>
                                <w:bCs/>
                                <w:color w:val="auto"/>
                                <w:sz w:val="24"/>
                                <w:szCs w:val="24"/>
                              </w:rPr>
                              <w:fldChar w:fldCharType="end"/>
                            </w:r>
                            <w:r w:rsidRPr="00305035">
                              <w:rPr>
                                <w:rFonts w:ascii="Times New Roman" w:hAnsi="Times New Roman" w:cs="Times New Roman"/>
                                <w:b/>
                                <w:bCs/>
                                <w:color w:val="auto"/>
                                <w:sz w:val="24"/>
                                <w:szCs w:val="24"/>
                              </w:rPr>
                              <w:t xml:space="preserve"> - Literacy Rate of Respondents (Percentage Distribution)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81A84" id="_x0000_s1028" type="#_x0000_t202" style="position:absolute;margin-left:213pt;margin-top:185.95pt;width:253.8pt;height:33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" stroked="f">
                <v:textbox inset="0,0,0,0">
                  <w:txbxContent>
                    <w:p w14:paraId="2A853E7E" w14:textId="77777777" w:rsidR="00D4379A" w:rsidRPr="00305035" w:rsidRDefault="00D4379A" w:rsidP="00D4379A">
                      <w:pPr>
                        <w:pStyle w:val="Caption"/>
                        <w:jc w:val="center"/>
                        <w:rPr>
                          <w:rFonts w:ascii="Times New Roman" w:hAnsi="Times New Roman" w:cs="Times New Roman"/>
                          <w:b/>
                          <w:bCs/>
                          <w:color w:val="auto"/>
                          <w:sz w:val="24"/>
                          <w:szCs w:val="24"/>
                        </w:rPr>
                      </w:pPr>
                      <w:r w:rsidRPr="00305035">
                        <w:rPr>
                          <w:rFonts w:ascii="Times New Roman" w:hAnsi="Times New Roman" w:cs="Times New Roman"/>
                          <w:b/>
                          <w:bCs/>
                          <w:color w:val="auto"/>
                          <w:sz w:val="24"/>
                          <w:szCs w:val="24"/>
                        </w:rPr>
                        <w:t xml:space="preserve">Figure </w:t>
                      </w:r>
                      <w:r w:rsidRPr="00305035">
                        <w:rPr>
                          <w:rFonts w:ascii="Times New Roman" w:hAnsi="Times New Roman" w:cs="Times New Roman"/>
                          <w:b/>
                          <w:bCs/>
                          <w:color w:val="auto"/>
                          <w:sz w:val="24"/>
                          <w:szCs w:val="24"/>
                        </w:rPr>
                        <w:fldChar w:fldCharType="begin"/>
                      </w:r>
                      <w:r w:rsidRPr="00305035">
                        <w:rPr>
                          <w:rFonts w:ascii="Times New Roman" w:hAnsi="Times New Roman" w:cs="Times New Roman"/>
                          <w:b/>
                          <w:bCs/>
                          <w:color w:val="auto"/>
                          <w:sz w:val="24"/>
                          <w:szCs w:val="24"/>
                        </w:rPr>
                        <w:instrText xml:space="preserve"> SEQ Figure \* ARABIC </w:instrText>
                      </w:r>
                      <w:r w:rsidRPr="00305035">
                        <w:rPr>
                          <w:rFonts w:ascii="Times New Roman" w:hAnsi="Times New Roman" w:cs="Times New Roman"/>
                          <w:b/>
                          <w:bCs/>
                          <w:color w:val="auto"/>
                          <w:sz w:val="24"/>
                          <w:szCs w:val="24"/>
                        </w:rPr>
                        <w:fldChar w:fldCharType="separate"/>
                      </w:r>
                      <w:r w:rsidRPr="00305035">
                        <w:rPr>
                          <w:rFonts w:ascii="Times New Roman" w:hAnsi="Times New Roman" w:cs="Times New Roman"/>
                          <w:b/>
                          <w:bCs/>
                          <w:color w:val="auto"/>
                          <w:sz w:val="24"/>
                          <w:szCs w:val="24"/>
                        </w:rPr>
                        <w:t>2</w:t>
                      </w:r>
                      <w:r w:rsidRPr="00305035">
                        <w:rPr>
                          <w:rFonts w:ascii="Times New Roman" w:hAnsi="Times New Roman" w:cs="Times New Roman"/>
                          <w:b/>
                          <w:bCs/>
                          <w:color w:val="auto"/>
                          <w:sz w:val="24"/>
                          <w:szCs w:val="24"/>
                        </w:rPr>
                        <w:fldChar w:fldCharType="end"/>
                      </w:r>
                      <w:r w:rsidRPr="00305035">
                        <w:rPr>
                          <w:rFonts w:ascii="Times New Roman" w:hAnsi="Times New Roman" w:cs="Times New Roman"/>
                          <w:b/>
                          <w:bCs/>
                          <w:color w:val="auto"/>
                          <w:sz w:val="24"/>
                          <w:szCs w:val="24"/>
                        </w:rPr>
                        <w:t xml:space="preserve"> - Literacy Rate of Respondents (Percentage Distribution)</w:t>
                      </w:r>
                    </w:p>
                  </w:txbxContent>
                </v:textbox>
              </v:shape>
            </w:pict>
          </mc:Fallback>
        </mc:AlternateContent>
      </w:r>
      <w:r w:rsidRPr="00305035">
        <w:rPr>
          <w:rFonts w:ascii="Times New Roman" w:hAnsi="Times New Roman" w:cs="Times New Roman"/>
          <w:sz w:val="24"/>
          <w:szCs w:val="24"/>
        </w:rPr>
        <w:br w:type="textWrapping" w:clear="all"/>
      </w:r>
    </w:p>
    <w:p w14:paraId="511C0215" w14:textId="77777777" w:rsidR="00D4379A" w:rsidRPr="00305035" w:rsidRDefault="00D4379A" w:rsidP="00D4379A">
      <w:pPr>
        <w:tabs>
          <w:tab w:val="left" w:pos="2136"/>
        </w:tabs>
        <w:spacing w:line="480" w:lineRule="auto"/>
        <w:jc w:val="both"/>
        <w:rPr>
          <w:rFonts w:ascii="Times New Roman" w:hAnsi="Times New Roman" w:cs="Times New Roman"/>
          <w:sz w:val="24"/>
          <w:szCs w:val="24"/>
        </w:rPr>
      </w:pPr>
      <w:r w:rsidRPr="00305035">
        <w:rPr>
          <w:rFonts w:ascii="Times New Roman" w:hAnsi="Times New Roman" w:cs="Times New Roman"/>
          <w:b/>
          <w:bCs/>
          <w:sz w:val="24"/>
          <w:szCs w:val="24"/>
        </w:rPr>
        <w:t>Discussion:</w:t>
      </w:r>
      <w:r w:rsidRPr="00305035">
        <w:rPr>
          <w:rFonts w:ascii="Times New Roman" w:hAnsi="Times New Roman" w:cs="Times New Roman"/>
          <w:sz w:val="24"/>
          <w:szCs w:val="24"/>
        </w:rPr>
        <w:br/>
        <w:t>The data indicate that the majority of farmers in the surveyed population are literate, with higher secondary education (12th standard) being the most common. The relatively small proportion of illiterate farmers suggests that literacy could support better adoption of modern agricultural practices and access to information.</w:t>
      </w:r>
    </w:p>
    <w:tbl>
      <w:tblPr>
        <w:tblStyle w:val="TableGrid"/>
        <w:tblpPr w:leftFromText="180" w:rightFromText="180" w:vertAnchor="text" w:horzAnchor="margin" w:tblpY="1954"/>
        <w:tblOverlap w:val="never"/>
        <w:tblW w:w="0" w:type="auto"/>
        <w:tblLook w:val="04A0" w:firstRow="1" w:lastRow="0" w:firstColumn="1" w:lastColumn="0" w:noHBand="0" w:noVBand="1"/>
      </w:tblPr>
      <w:tblGrid>
        <w:gridCol w:w="1403"/>
        <w:gridCol w:w="2464"/>
      </w:tblGrid>
      <w:tr w:rsidR="00D4379A" w:rsidRPr="00305035" w14:paraId="29924C35" w14:textId="77777777" w:rsidTr="006E7FCA">
        <w:trPr>
          <w:trHeight w:val="1010"/>
        </w:trPr>
        <w:tc>
          <w:tcPr>
            <w:tcW w:w="1403" w:type="dxa"/>
          </w:tcPr>
          <w:p w14:paraId="3A88C2FC" w14:textId="77777777" w:rsidR="00D4379A" w:rsidRPr="00305035" w:rsidRDefault="00D4379A" w:rsidP="006E7FCA">
            <w:pPr>
              <w:tabs>
                <w:tab w:val="left" w:pos="2136"/>
              </w:tabs>
              <w:spacing w:line="480" w:lineRule="auto"/>
              <w:jc w:val="center"/>
              <w:rPr>
                <w:rFonts w:ascii="Times New Roman" w:hAnsi="Times New Roman" w:cs="Times New Roman"/>
                <w:b/>
                <w:bCs/>
                <w:sz w:val="24"/>
                <w:szCs w:val="24"/>
              </w:rPr>
            </w:pPr>
            <w:r w:rsidRPr="00305035">
              <w:rPr>
                <w:rFonts w:ascii="Times New Roman" w:hAnsi="Times New Roman" w:cs="Times New Roman"/>
                <w:b/>
                <w:bCs/>
                <w:sz w:val="24"/>
                <w:szCs w:val="24"/>
              </w:rPr>
              <w:t>Occupation</w:t>
            </w:r>
          </w:p>
        </w:tc>
        <w:tc>
          <w:tcPr>
            <w:tcW w:w="2464" w:type="dxa"/>
          </w:tcPr>
          <w:p w14:paraId="2BAD11D8" w14:textId="77777777" w:rsidR="00D4379A" w:rsidRPr="00305035" w:rsidRDefault="00D4379A" w:rsidP="006E7FCA">
            <w:pPr>
              <w:tabs>
                <w:tab w:val="left" w:pos="2136"/>
              </w:tabs>
              <w:spacing w:line="480" w:lineRule="auto"/>
              <w:jc w:val="center"/>
              <w:rPr>
                <w:rFonts w:ascii="Times New Roman" w:hAnsi="Times New Roman" w:cs="Times New Roman"/>
                <w:b/>
                <w:bCs/>
                <w:sz w:val="24"/>
                <w:szCs w:val="24"/>
              </w:rPr>
            </w:pPr>
            <w:r w:rsidRPr="00305035">
              <w:rPr>
                <w:rFonts w:ascii="Times New Roman" w:hAnsi="Times New Roman" w:cs="Times New Roman"/>
                <w:b/>
                <w:bCs/>
                <w:sz w:val="24"/>
                <w:szCs w:val="24"/>
              </w:rPr>
              <w:t>No. of.  Participants</w:t>
            </w:r>
          </w:p>
        </w:tc>
      </w:tr>
      <w:tr w:rsidR="00D4379A" w:rsidRPr="00305035" w14:paraId="686EFA5D" w14:textId="77777777" w:rsidTr="006E7FCA">
        <w:trPr>
          <w:trHeight w:val="652"/>
        </w:trPr>
        <w:tc>
          <w:tcPr>
            <w:tcW w:w="1403" w:type="dxa"/>
          </w:tcPr>
          <w:p w14:paraId="6C8264B1" w14:textId="77777777" w:rsidR="00D4379A" w:rsidRPr="00305035" w:rsidRDefault="00D4379A" w:rsidP="006E7FCA">
            <w:pPr>
              <w:tabs>
                <w:tab w:val="left" w:pos="2136"/>
              </w:tabs>
              <w:spacing w:line="480" w:lineRule="auto"/>
              <w:jc w:val="center"/>
              <w:rPr>
                <w:rFonts w:ascii="Times New Roman" w:hAnsi="Times New Roman" w:cs="Times New Roman"/>
                <w:sz w:val="24"/>
                <w:szCs w:val="24"/>
              </w:rPr>
            </w:pPr>
            <w:r w:rsidRPr="00305035">
              <w:rPr>
                <w:rFonts w:ascii="Times New Roman" w:hAnsi="Times New Roman" w:cs="Times New Roman"/>
                <w:sz w:val="24"/>
                <w:szCs w:val="24"/>
              </w:rPr>
              <w:t>Farmimg</w:t>
            </w:r>
          </w:p>
        </w:tc>
        <w:tc>
          <w:tcPr>
            <w:tcW w:w="2464" w:type="dxa"/>
          </w:tcPr>
          <w:p w14:paraId="615DD987" w14:textId="77777777" w:rsidR="00D4379A" w:rsidRPr="00305035" w:rsidRDefault="00D4379A" w:rsidP="006E7FCA">
            <w:pPr>
              <w:tabs>
                <w:tab w:val="left" w:pos="2136"/>
              </w:tabs>
              <w:spacing w:line="480" w:lineRule="auto"/>
              <w:jc w:val="center"/>
              <w:rPr>
                <w:rFonts w:ascii="Times New Roman" w:hAnsi="Times New Roman" w:cs="Times New Roman"/>
                <w:sz w:val="24"/>
                <w:szCs w:val="24"/>
              </w:rPr>
            </w:pPr>
            <w:r w:rsidRPr="00305035">
              <w:rPr>
                <w:rFonts w:ascii="Times New Roman" w:hAnsi="Times New Roman" w:cs="Times New Roman"/>
                <w:sz w:val="24"/>
                <w:szCs w:val="24"/>
              </w:rPr>
              <w:t>60</w:t>
            </w:r>
          </w:p>
        </w:tc>
      </w:tr>
      <w:tr w:rsidR="00D4379A" w:rsidRPr="00305035" w14:paraId="39EB49A0" w14:textId="77777777" w:rsidTr="006E7FCA">
        <w:trPr>
          <w:trHeight w:val="667"/>
        </w:trPr>
        <w:tc>
          <w:tcPr>
            <w:tcW w:w="1403" w:type="dxa"/>
          </w:tcPr>
          <w:p w14:paraId="0487B853" w14:textId="77777777" w:rsidR="00D4379A" w:rsidRPr="00305035" w:rsidRDefault="00D4379A" w:rsidP="006E7FCA">
            <w:pPr>
              <w:tabs>
                <w:tab w:val="left" w:pos="2136"/>
              </w:tabs>
              <w:spacing w:line="480" w:lineRule="auto"/>
              <w:jc w:val="center"/>
              <w:rPr>
                <w:rFonts w:ascii="Times New Roman" w:hAnsi="Times New Roman" w:cs="Times New Roman"/>
                <w:b/>
                <w:bCs/>
                <w:sz w:val="24"/>
                <w:szCs w:val="24"/>
              </w:rPr>
            </w:pPr>
            <w:r w:rsidRPr="00305035">
              <w:rPr>
                <w:rFonts w:ascii="Times New Roman" w:hAnsi="Times New Roman" w:cs="Times New Roman"/>
                <w:b/>
                <w:bCs/>
                <w:sz w:val="24"/>
                <w:szCs w:val="24"/>
              </w:rPr>
              <w:t>Total</w:t>
            </w:r>
          </w:p>
        </w:tc>
        <w:tc>
          <w:tcPr>
            <w:tcW w:w="2464" w:type="dxa"/>
          </w:tcPr>
          <w:p w14:paraId="65B70943" w14:textId="77777777" w:rsidR="00D4379A" w:rsidRPr="00305035" w:rsidRDefault="00D4379A" w:rsidP="006E7FCA">
            <w:pPr>
              <w:tabs>
                <w:tab w:val="left" w:pos="2136"/>
              </w:tabs>
              <w:spacing w:line="480" w:lineRule="auto"/>
              <w:jc w:val="center"/>
              <w:rPr>
                <w:rFonts w:ascii="Times New Roman" w:hAnsi="Times New Roman" w:cs="Times New Roman"/>
                <w:b/>
                <w:bCs/>
                <w:sz w:val="24"/>
                <w:szCs w:val="24"/>
              </w:rPr>
            </w:pPr>
            <w:r w:rsidRPr="00305035">
              <w:rPr>
                <w:rFonts w:ascii="Times New Roman" w:hAnsi="Times New Roman" w:cs="Times New Roman"/>
                <w:b/>
                <w:bCs/>
                <w:sz w:val="24"/>
                <w:szCs w:val="24"/>
              </w:rPr>
              <w:t>60</w:t>
            </w:r>
          </w:p>
        </w:tc>
      </w:tr>
    </w:tbl>
    <w:p w14:paraId="12744363" w14:textId="2F04CDA9" w:rsidR="00D4379A" w:rsidRPr="002B0A0E" w:rsidRDefault="00D4379A" w:rsidP="00D4379A">
      <w:pPr>
        <w:tabs>
          <w:tab w:val="left" w:pos="2136"/>
        </w:tabs>
        <w:spacing w:line="480" w:lineRule="auto"/>
        <w:jc w:val="both"/>
        <w:rPr>
          <w:rFonts w:ascii="Times New Roman" w:hAnsi="Times New Roman" w:cs="Times New Roman"/>
          <w:sz w:val="24"/>
          <w:szCs w:val="24"/>
        </w:rPr>
      </w:pPr>
      <w:r>
        <w:rPr>
          <w:rFonts w:ascii="Times New Roman" w:hAnsi="Times New Roman" w:cs="Times New Roman"/>
          <w:b/>
          <w:bCs/>
          <w:sz w:val="24"/>
          <w:szCs w:val="24"/>
        </w:rPr>
        <w:t xml:space="preserve">4.3. </w:t>
      </w:r>
      <w:r w:rsidRPr="002B0A0E">
        <w:rPr>
          <w:rFonts w:ascii="Times New Roman" w:hAnsi="Times New Roman" w:cs="Times New Roman"/>
          <w:b/>
          <w:bCs/>
          <w:sz w:val="24"/>
          <w:szCs w:val="24"/>
        </w:rPr>
        <w:t>Occupation of Respondents</w:t>
      </w:r>
    </w:p>
    <w:p w14:paraId="1149F2A7" w14:textId="77777777" w:rsidR="00D4379A" w:rsidRPr="00305035" w:rsidRDefault="00D4379A" w:rsidP="00D4379A">
      <w:pPr>
        <w:tabs>
          <w:tab w:val="left" w:pos="2136"/>
        </w:tabs>
        <w:spacing w:line="480" w:lineRule="auto"/>
        <w:jc w:val="both"/>
        <w:rPr>
          <w:rFonts w:ascii="Times New Roman" w:hAnsi="Times New Roman" w:cs="Times New Roman"/>
          <w:sz w:val="24"/>
          <w:szCs w:val="24"/>
        </w:rPr>
      </w:pPr>
      <w:r w:rsidRPr="00305035">
        <w:rPr>
          <w:rFonts w:ascii="Times New Roman" w:hAnsi="Times New Roman" w:cs="Times New Roman"/>
          <w:sz w:val="24"/>
          <w:szCs w:val="24"/>
        </w:rPr>
        <w:drawing>
          <wp:anchor distT="0" distB="0" distL="114300" distR="114300" simplePos="0" relativeHeight="251705344" behindDoc="1" locked="0" layoutInCell="1" allowOverlap="1" wp14:anchorId="199C5200" wp14:editId="1D0287BE">
            <wp:simplePos x="0" y="0"/>
            <wp:positionH relativeFrom="margin">
              <wp:posOffset>2994660</wp:posOffset>
            </wp:positionH>
            <wp:positionV relativeFrom="paragraph">
              <wp:posOffset>741680</wp:posOffset>
            </wp:positionV>
            <wp:extent cx="3055620" cy="1554480"/>
            <wp:effectExtent l="0" t="0" r="11430" b="7620"/>
            <wp:wrapNone/>
            <wp:docPr id="170107512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Pr="00305035">
        <mc:AlternateContent>
          <mc:Choice Requires="wps">
            <w:drawing>
              <wp:anchor distT="0" distB="0" distL="114300" distR="114300" simplePos="0" relativeHeight="251706368" behindDoc="1" locked="0" layoutInCell="1" allowOverlap="1" wp14:anchorId="051E5147" wp14:editId="7720CEAE">
                <wp:simplePos x="0" y="0"/>
                <wp:positionH relativeFrom="column">
                  <wp:posOffset>2964180</wp:posOffset>
                </wp:positionH>
                <wp:positionV relativeFrom="paragraph">
                  <wp:posOffset>2407285</wp:posOffset>
                </wp:positionV>
                <wp:extent cx="3223260" cy="419100"/>
                <wp:effectExtent l="0" t="0" r="0" b="0"/>
                <wp:wrapNone/>
                <wp:docPr id="861863405" name="Text Box 1"/>
                <wp:cNvGraphicFramePr/>
                <a:graphic xmlns:a="http://schemas.openxmlformats.org/drawingml/2006/main">
                  <a:graphicData uri="http://schemas.microsoft.com/office/word/2010/wordprocessingShape">
                    <wps:wsp>
                      <wps:cNvSpPr txBox="1"/>
                      <wps:spPr>
                        <a:xfrm>
                          <a:off x="0" y="0"/>
                          <a:ext cx="3223260" cy="419100"/>
                        </a:xfrm>
                        <a:prstGeom prst="rect">
                          <a:avLst/>
                        </a:prstGeom>
                        <a:solidFill>
                          <a:prstClr val="white"/>
                        </a:solidFill>
                        <a:ln>
                          <a:noFill/>
                        </a:ln>
                      </wps:spPr>
                      <wps:txbx>
                        <w:txbxContent>
                          <w:p w14:paraId="2AB2052C" w14:textId="77777777" w:rsidR="00D4379A" w:rsidRPr="00305035" w:rsidRDefault="00D4379A" w:rsidP="00D4379A">
                            <w:pPr>
                              <w:pStyle w:val="Caption"/>
                              <w:jc w:val="center"/>
                              <w:rPr>
                                <w:rFonts w:ascii="Times New Roman" w:hAnsi="Times New Roman" w:cs="Times New Roman"/>
                                <w:b/>
                                <w:bCs/>
                                <w:color w:val="auto"/>
                                <w:sz w:val="24"/>
                                <w:szCs w:val="24"/>
                              </w:rPr>
                            </w:pPr>
                            <w:r w:rsidRPr="00305035">
                              <w:rPr>
                                <w:rFonts w:ascii="Times New Roman" w:hAnsi="Times New Roman" w:cs="Times New Roman"/>
                                <w:b/>
                                <w:bCs/>
                                <w:color w:val="auto"/>
                                <w:sz w:val="24"/>
                                <w:szCs w:val="24"/>
                              </w:rPr>
                              <w:t>Figure 3 - Occupational Distribution of Respondents</w:t>
                            </w:r>
                          </w:p>
                          <w:p w14:paraId="0A7D2C46" w14:textId="77777777" w:rsidR="00D4379A" w:rsidRPr="00305035" w:rsidRDefault="00D4379A" w:rsidP="00D4379A"/>
                          <w:p w14:paraId="7F18313F" w14:textId="77777777" w:rsidR="00D4379A" w:rsidRPr="00305035" w:rsidRDefault="00D4379A" w:rsidP="00D4379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E5147" id="_x0000_s1029" type="#_x0000_t202" style="position:absolute;left:0;text-align:left;margin-left:233.4pt;margin-top:189.55pt;width:253.8pt;height:33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" stroked="f">
                <v:textbox inset="0,0,0,0">
                  <w:txbxContent>
                    <w:p w14:paraId="2AB2052C" w14:textId="77777777" w:rsidR="00D4379A" w:rsidRPr="00305035" w:rsidRDefault="00D4379A" w:rsidP="00D4379A">
                      <w:pPr>
                        <w:pStyle w:val="Caption"/>
                        <w:jc w:val="center"/>
                        <w:rPr>
                          <w:rFonts w:ascii="Times New Roman" w:hAnsi="Times New Roman" w:cs="Times New Roman"/>
                          <w:b/>
                          <w:bCs/>
                          <w:color w:val="auto"/>
                          <w:sz w:val="24"/>
                          <w:szCs w:val="24"/>
                        </w:rPr>
                      </w:pPr>
                      <w:r w:rsidRPr="00305035">
                        <w:rPr>
                          <w:rFonts w:ascii="Times New Roman" w:hAnsi="Times New Roman" w:cs="Times New Roman"/>
                          <w:b/>
                          <w:bCs/>
                          <w:color w:val="auto"/>
                          <w:sz w:val="24"/>
                          <w:szCs w:val="24"/>
                        </w:rPr>
                        <w:t>Figure 3 - Occupational Distribution of Respondents</w:t>
                      </w:r>
                    </w:p>
                    <w:p w14:paraId="0A7D2C46" w14:textId="77777777" w:rsidR="00D4379A" w:rsidRPr="00305035" w:rsidRDefault="00D4379A" w:rsidP="00D4379A"/>
                    <w:p w14:paraId="7F18313F" w14:textId="77777777" w:rsidR="00D4379A" w:rsidRPr="00305035" w:rsidRDefault="00D4379A" w:rsidP="00D4379A"/>
                  </w:txbxContent>
                </v:textbox>
              </v:shape>
            </w:pict>
          </mc:Fallback>
        </mc:AlternateContent>
      </w:r>
      <w:r w:rsidRPr="002B0A0E">
        <w:rPr>
          <w:rFonts w:ascii="Times New Roman" w:hAnsi="Times New Roman" w:cs="Times New Roman"/>
          <w:sz w:val="24"/>
          <w:szCs w:val="24"/>
        </w:rPr>
        <w:t>A survey of 60 respondents was conducted to understand their occupation, particularly in relation to the use and perception of organic fertilizers and manures.</w:t>
      </w:r>
    </w:p>
    <w:p w14:paraId="5CEEA14C" w14:textId="77777777" w:rsidR="00D4379A" w:rsidRPr="00305035" w:rsidRDefault="00D4379A" w:rsidP="00D4379A">
      <w:pPr>
        <w:tabs>
          <w:tab w:val="left" w:pos="2136"/>
        </w:tabs>
        <w:spacing w:line="480" w:lineRule="auto"/>
        <w:jc w:val="both"/>
        <w:rPr>
          <w:rFonts w:ascii="Times New Roman" w:hAnsi="Times New Roman" w:cs="Times New Roman"/>
          <w:sz w:val="24"/>
          <w:szCs w:val="24"/>
        </w:rPr>
      </w:pPr>
      <w:r w:rsidRPr="00305035">
        <w:rPr>
          <w:rFonts w:ascii="Times New Roman" w:hAnsi="Times New Roman" w:cs="Times New Roman"/>
          <w:sz w:val="24"/>
          <w:szCs w:val="24"/>
        </w:rPr>
        <w:tab/>
      </w:r>
    </w:p>
    <w:p w14:paraId="49AEB607" w14:textId="77777777" w:rsidR="00D4379A" w:rsidRPr="00305035" w:rsidRDefault="00D4379A" w:rsidP="00D4379A">
      <w:pPr>
        <w:tabs>
          <w:tab w:val="left" w:pos="2136"/>
        </w:tabs>
        <w:spacing w:line="480" w:lineRule="auto"/>
        <w:jc w:val="both"/>
        <w:rPr>
          <w:rFonts w:ascii="Times New Roman" w:hAnsi="Times New Roman" w:cs="Times New Roman"/>
          <w:sz w:val="24"/>
          <w:szCs w:val="24"/>
        </w:rPr>
      </w:pPr>
    </w:p>
    <w:p w14:paraId="4E8A0714" w14:textId="77777777" w:rsidR="00D4379A" w:rsidRPr="00305035" w:rsidRDefault="00D4379A" w:rsidP="00D4379A">
      <w:pPr>
        <w:tabs>
          <w:tab w:val="left" w:pos="2136"/>
        </w:tabs>
        <w:spacing w:line="480" w:lineRule="auto"/>
        <w:jc w:val="both"/>
        <w:rPr>
          <w:rFonts w:ascii="Times New Roman" w:hAnsi="Times New Roman" w:cs="Times New Roman"/>
          <w:sz w:val="24"/>
          <w:szCs w:val="24"/>
        </w:rPr>
      </w:pPr>
    </w:p>
    <w:p w14:paraId="203E709F" w14:textId="77777777" w:rsidR="00D4379A" w:rsidRPr="00305035" w:rsidRDefault="00D4379A" w:rsidP="00D4379A">
      <w:pPr>
        <w:pStyle w:val="Caption"/>
        <w:framePr w:w="3781" w:h="313" w:hRule="exact" w:hSpace="180" w:wrap="around" w:vAnchor="text" w:hAnchor="page" w:x="1441" w:y="434"/>
        <w:jc w:val="center"/>
        <w:rPr>
          <w:rFonts w:ascii="Times New Roman" w:hAnsi="Times New Roman" w:cs="Times New Roman"/>
          <w:sz w:val="24"/>
          <w:szCs w:val="24"/>
        </w:rPr>
      </w:pPr>
      <w:r w:rsidRPr="00305035">
        <w:rPr>
          <w:rFonts w:ascii="Times New Roman" w:hAnsi="Times New Roman" w:cs="Times New Roman"/>
          <w:b/>
          <w:bCs/>
          <w:color w:val="auto"/>
          <w:sz w:val="24"/>
          <w:szCs w:val="24"/>
        </w:rPr>
        <w:t>Table 3 - Occupation of Respondents</w:t>
      </w:r>
      <w:r w:rsidRPr="00305035">
        <w:rPr>
          <w:rFonts w:ascii="Times New Roman" w:hAnsi="Times New Roman" w:cs="Times New Roman"/>
          <w:sz w:val="24"/>
          <w:szCs w:val="24"/>
        </w:rPr>
        <w:br w:type="textWrapping" w:clear="all"/>
      </w:r>
    </w:p>
    <w:p w14:paraId="16733BE3" w14:textId="77777777" w:rsidR="00D4379A" w:rsidRPr="00305035" w:rsidRDefault="00D4379A" w:rsidP="00D4379A">
      <w:pPr>
        <w:pStyle w:val="Caption"/>
        <w:jc w:val="center"/>
        <w:rPr>
          <w:rFonts w:ascii="Times New Roman" w:hAnsi="Times New Roman" w:cs="Times New Roman"/>
          <w:sz w:val="24"/>
          <w:szCs w:val="24"/>
        </w:rPr>
      </w:pPr>
    </w:p>
    <w:p w14:paraId="5DCD28D0" w14:textId="77777777" w:rsidR="00D4379A" w:rsidRPr="00305035" w:rsidRDefault="00D4379A" w:rsidP="00D4379A">
      <w:pPr>
        <w:spacing w:line="480" w:lineRule="auto"/>
        <w:jc w:val="both"/>
      </w:pPr>
      <w:r w:rsidRPr="00305035">
        <w:rPr>
          <w:rFonts w:ascii="Times New Roman" w:hAnsi="Times New Roman" w:cs="Times New Roman"/>
          <w:b/>
          <w:bCs/>
          <w:sz w:val="24"/>
          <w:szCs w:val="24"/>
        </w:rPr>
        <w:lastRenderedPageBreak/>
        <w:t>Discussion:</w:t>
      </w:r>
      <w:r w:rsidRPr="00305035">
        <w:rPr>
          <w:rFonts w:ascii="Times New Roman" w:hAnsi="Times New Roman" w:cs="Times New Roman"/>
          <w:sz w:val="24"/>
          <w:szCs w:val="24"/>
        </w:rPr>
        <w:br/>
        <w:t>The survey indicates that farming is the exclusive occupation among the respondents, ensuring that the findings on perceptions and preferences regarding organic fertilizers and manures are fully representative of the farming community</w:t>
      </w:r>
      <w:r w:rsidRPr="00305035">
        <w:t>.</w:t>
      </w:r>
    </w:p>
    <w:p w14:paraId="22A399FE" w14:textId="62531789" w:rsidR="00D4379A" w:rsidRPr="00305035" w:rsidRDefault="00D4379A" w:rsidP="00D4379A">
      <w:pPr>
        <w:spacing w:line="480" w:lineRule="auto"/>
        <w:jc w:val="both"/>
        <w:rPr>
          <w:rFonts w:ascii="Times New Roman" w:hAnsi="Times New Roman" w:cs="Times New Roman"/>
          <w:sz w:val="24"/>
          <w:szCs w:val="24"/>
        </w:rPr>
      </w:pPr>
      <w:r>
        <w:rPr>
          <w:rFonts w:ascii="Times New Roman" w:hAnsi="Times New Roman" w:cs="Times New Roman"/>
          <w:b/>
          <w:bCs/>
          <w:sz w:val="24"/>
          <w:szCs w:val="24"/>
        </w:rPr>
        <w:t xml:space="preserve">4.4. </w:t>
      </w:r>
      <w:r w:rsidRPr="00645AEF">
        <w:rPr>
          <w:rFonts w:ascii="Times New Roman" w:hAnsi="Times New Roman" w:cs="Times New Roman"/>
          <w:b/>
          <w:bCs/>
          <w:sz w:val="24"/>
          <w:szCs w:val="24"/>
        </w:rPr>
        <w:t>Family Size of Respondents</w:t>
      </w:r>
    </w:p>
    <w:p w14:paraId="7957645C" w14:textId="77777777" w:rsidR="00D4379A" w:rsidRPr="00305035" w:rsidRDefault="00D4379A" w:rsidP="00D4379A">
      <w:pPr>
        <w:spacing w:line="480" w:lineRule="auto"/>
        <w:jc w:val="both"/>
        <w:rPr>
          <w:rFonts w:ascii="Times New Roman" w:hAnsi="Times New Roman" w:cs="Times New Roman"/>
          <w:sz w:val="24"/>
          <w:szCs w:val="24"/>
        </w:rPr>
      </w:pPr>
      <w:r w:rsidRPr="00C52D4D">
        <w:rPr>
          <w:rFonts w:ascii="Times New Roman" w:hAnsi="Times New Roman" w:cs="Times New Roman"/>
          <w:sz w:val="24"/>
          <w:szCs w:val="24"/>
        </w:rPr>
        <w:drawing>
          <wp:anchor distT="0" distB="0" distL="114300" distR="114300" simplePos="0" relativeHeight="251707392" behindDoc="1" locked="0" layoutInCell="1" allowOverlap="1" wp14:anchorId="40A5EAC3" wp14:editId="53FEDE39">
            <wp:simplePos x="0" y="0"/>
            <wp:positionH relativeFrom="column">
              <wp:posOffset>2933700</wp:posOffset>
            </wp:positionH>
            <wp:positionV relativeFrom="paragraph">
              <wp:posOffset>721995</wp:posOffset>
            </wp:positionV>
            <wp:extent cx="3147060" cy="2506980"/>
            <wp:effectExtent l="0" t="0" r="15240" b="7620"/>
            <wp:wrapNone/>
            <wp:docPr id="708952955"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Pr="00645AEF">
        <w:rPr>
          <w:rFonts w:ascii="Times New Roman" w:hAnsi="Times New Roman" w:cs="Times New Roman"/>
          <w:sz w:val="24"/>
          <w:szCs w:val="24"/>
        </w:rPr>
        <w:t xml:space="preserve">The family size of surveyed farmers was recorded to understand household composition and </w:t>
      </w:r>
      <w:r>
        <w:rPr>
          <w:rFonts w:ascii="Times New Roman" w:hAnsi="Times New Roman" w:cs="Times New Roman"/>
          <w:sz w:val="24"/>
          <w:szCs w:val="24"/>
        </w:rPr>
        <w:t>labour</w:t>
      </w:r>
      <w:r w:rsidRPr="00645AEF">
        <w:rPr>
          <w:rFonts w:ascii="Times New Roman" w:hAnsi="Times New Roman" w:cs="Times New Roman"/>
          <w:sz w:val="24"/>
          <w:szCs w:val="24"/>
        </w:rPr>
        <w:t xml:space="preserve"> availability. The distribution of respondents according to family size is presented </w:t>
      </w:r>
    </w:p>
    <w:tbl>
      <w:tblPr>
        <w:tblStyle w:val="TableGrid"/>
        <w:tblW w:w="0" w:type="auto"/>
        <w:tblLook w:val="04A0" w:firstRow="1" w:lastRow="0" w:firstColumn="1" w:lastColumn="0" w:noHBand="0" w:noVBand="1"/>
      </w:tblPr>
      <w:tblGrid>
        <w:gridCol w:w="1544"/>
        <w:gridCol w:w="2253"/>
      </w:tblGrid>
      <w:tr w:rsidR="00D4379A" w:rsidRPr="00305035" w14:paraId="17AF66A7" w14:textId="77777777" w:rsidTr="006E7FCA">
        <w:trPr>
          <w:trHeight w:val="782"/>
        </w:trPr>
        <w:tc>
          <w:tcPr>
            <w:tcW w:w="1544" w:type="dxa"/>
          </w:tcPr>
          <w:p w14:paraId="28B21B61" w14:textId="77777777" w:rsidR="00D4379A" w:rsidRPr="00305035" w:rsidRDefault="00D4379A" w:rsidP="006E7FCA">
            <w:pPr>
              <w:jc w:val="center"/>
              <w:rPr>
                <w:rFonts w:ascii="Times New Roman" w:hAnsi="Times New Roman" w:cs="Times New Roman"/>
                <w:b/>
                <w:bCs/>
                <w:sz w:val="24"/>
                <w:szCs w:val="24"/>
              </w:rPr>
            </w:pPr>
            <w:r w:rsidRPr="00305035">
              <w:rPr>
                <w:rFonts w:ascii="Times New Roman" w:hAnsi="Times New Roman" w:cs="Times New Roman"/>
                <w:b/>
                <w:bCs/>
                <w:sz w:val="24"/>
                <w:szCs w:val="24"/>
              </w:rPr>
              <w:t>Family Size</w:t>
            </w:r>
          </w:p>
        </w:tc>
        <w:tc>
          <w:tcPr>
            <w:tcW w:w="2253" w:type="dxa"/>
          </w:tcPr>
          <w:p w14:paraId="53D118C0" w14:textId="77777777" w:rsidR="00D4379A" w:rsidRPr="00305035" w:rsidRDefault="00D4379A" w:rsidP="006E7FCA">
            <w:pPr>
              <w:spacing w:line="480" w:lineRule="auto"/>
              <w:jc w:val="center"/>
              <w:rPr>
                <w:rFonts w:ascii="Times New Roman" w:hAnsi="Times New Roman" w:cs="Times New Roman"/>
                <w:sz w:val="24"/>
                <w:szCs w:val="24"/>
              </w:rPr>
            </w:pPr>
            <w:r w:rsidRPr="00305035">
              <w:rPr>
                <w:rFonts w:ascii="Times New Roman" w:hAnsi="Times New Roman" w:cs="Times New Roman"/>
                <w:b/>
                <w:bCs/>
                <w:sz w:val="24"/>
                <w:szCs w:val="24"/>
              </w:rPr>
              <w:t>No. of.  Participants</w:t>
            </w:r>
          </w:p>
        </w:tc>
      </w:tr>
      <w:tr w:rsidR="00D4379A" w:rsidRPr="00305035" w14:paraId="2567E24F" w14:textId="77777777" w:rsidTr="006E7FCA">
        <w:trPr>
          <w:trHeight w:val="782"/>
        </w:trPr>
        <w:tc>
          <w:tcPr>
            <w:tcW w:w="1544" w:type="dxa"/>
          </w:tcPr>
          <w:p w14:paraId="3F01D388" w14:textId="77777777" w:rsidR="00D4379A" w:rsidRPr="00305035" w:rsidRDefault="00D4379A" w:rsidP="006E7FCA">
            <w:pPr>
              <w:spacing w:line="480" w:lineRule="auto"/>
              <w:jc w:val="center"/>
              <w:rPr>
                <w:rFonts w:ascii="Times New Roman" w:hAnsi="Times New Roman" w:cs="Times New Roman"/>
                <w:sz w:val="24"/>
                <w:szCs w:val="24"/>
              </w:rPr>
            </w:pPr>
            <w:r w:rsidRPr="00305035">
              <w:rPr>
                <w:rFonts w:ascii="Times New Roman" w:hAnsi="Times New Roman" w:cs="Times New Roman"/>
                <w:sz w:val="24"/>
                <w:szCs w:val="24"/>
              </w:rPr>
              <w:t>3 to 5</w:t>
            </w:r>
          </w:p>
        </w:tc>
        <w:tc>
          <w:tcPr>
            <w:tcW w:w="2253" w:type="dxa"/>
          </w:tcPr>
          <w:p w14:paraId="441CF175" w14:textId="77777777" w:rsidR="00D4379A" w:rsidRPr="00305035" w:rsidRDefault="00D4379A" w:rsidP="006E7FCA">
            <w:pPr>
              <w:spacing w:line="480" w:lineRule="auto"/>
              <w:jc w:val="center"/>
              <w:rPr>
                <w:rFonts w:ascii="Times New Roman" w:hAnsi="Times New Roman" w:cs="Times New Roman"/>
                <w:sz w:val="24"/>
                <w:szCs w:val="24"/>
              </w:rPr>
            </w:pPr>
            <w:r w:rsidRPr="00305035">
              <w:rPr>
                <w:rFonts w:ascii="Times New Roman" w:hAnsi="Times New Roman" w:cs="Times New Roman"/>
                <w:sz w:val="24"/>
                <w:szCs w:val="24"/>
              </w:rPr>
              <w:t>40</w:t>
            </w:r>
          </w:p>
        </w:tc>
      </w:tr>
      <w:tr w:rsidR="00D4379A" w:rsidRPr="00C52D4D" w14:paraId="6BDB2509" w14:textId="77777777" w:rsidTr="006E7FCA">
        <w:trPr>
          <w:trHeight w:val="766"/>
        </w:trPr>
        <w:tc>
          <w:tcPr>
            <w:tcW w:w="1544" w:type="dxa"/>
          </w:tcPr>
          <w:p w14:paraId="1D61AB25" w14:textId="77777777" w:rsidR="00D4379A" w:rsidRPr="00305035" w:rsidRDefault="00D4379A" w:rsidP="006E7FCA">
            <w:pPr>
              <w:spacing w:line="480" w:lineRule="auto"/>
              <w:jc w:val="center"/>
              <w:rPr>
                <w:rFonts w:ascii="Times New Roman" w:hAnsi="Times New Roman" w:cs="Times New Roman"/>
                <w:sz w:val="24"/>
                <w:szCs w:val="24"/>
              </w:rPr>
            </w:pPr>
            <w:r w:rsidRPr="00305035">
              <w:rPr>
                <w:rFonts w:ascii="Times New Roman" w:hAnsi="Times New Roman" w:cs="Times New Roman"/>
                <w:sz w:val="24"/>
                <w:szCs w:val="24"/>
              </w:rPr>
              <w:t>&gt; 5</w:t>
            </w:r>
          </w:p>
        </w:tc>
        <w:tc>
          <w:tcPr>
            <w:tcW w:w="2253" w:type="dxa"/>
          </w:tcPr>
          <w:p w14:paraId="46EF77FE" w14:textId="77777777" w:rsidR="00D4379A" w:rsidRPr="00305035" w:rsidRDefault="00D4379A" w:rsidP="006E7FCA">
            <w:pPr>
              <w:spacing w:line="480" w:lineRule="auto"/>
              <w:jc w:val="center"/>
              <w:rPr>
                <w:rFonts w:ascii="Times New Roman" w:hAnsi="Times New Roman" w:cs="Times New Roman"/>
                <w:sz w:val="24"/>
                <w:szCs w:val="24"/>
              </w:rPr>
            </w:pPr>
            <w:r w:rsidRPr="00305035">
              <w:rPr>
                <w:rFonts w:ascii="Times New Roman" w:hAnsi="Times New Roman" w:cs="Times New Roman"/>
                <w:sz w:val="24"/>
                <w:szCs w:val="24"/>
              </w:rPr>
              <w:t>20</w:t>
            </w:r>
          </w:p>
        </w:tc>
      </w:tr>
      <w:tr w:rsidR="00D4379A" w:rsidRPr="00305035" w14:paraId="16112CD6" w14:textId="77777777" w:rsidTr="006E7FCA">
        <w:trPr>
          <w:trHeight w:val="782"/>
        </w:trPr>
        <w:tc>
          <w:tcPr>
            <w:tcW w:w="1544" w:type="dxa"/>
          </w:tcPr>
          <w:p w14:paraId="5128BB56" w14:textId="77777777" w:rsidR="00D4379A" w:rsidRPr="00305035" w:rsidRDefault="00D4379A" w:rsidP="006E7FCA">
            <w:pPr>
              <w:spacing w:line="480" w:lineRule="auto"/>
              <w:jc w:val="center"/>
              <w:rPr>
                <w:rFonts w:ascii="Times New Roman" w:hAnsi="Times New Roman" w:cs="Times New Roman"/>
                <w:b/>
                <w:bCs/>
                <w:sz w:val="24"/>
                <w:szCs w:val="24"/>
              </w:rPr>
            </w:pPr>
            <w:r w:rsidRPr="00305035">
              <w:rPr>
                <w:rFonts w:ascii="Times New Roman" w:hAnsi="Times New Roman" w:cs="Times New Roman"/>
                <w:b/>
                <w:bCs/>
                <w:sz w:val="24"/>
                <w:szCs w:val="24"/>
              </w:rPr>
              <w:t>Total</w:t>
            </w:r>
          </w:p>
        </w:tc>
        <w:tc>
          <w:tcPr>
            <w:tcW w:w="2253" w:type="dxa"/>
          </w:tcPr>
          <w:p w14:paraId="22A7AFD4" w14:textId="77777777" w:rsidR="00D4379A" w:rsidRPr="00305035" w:rsidRDefault="00D4379A" w:rsidP="006E7FCA">
            <w:pPr>
              <w:spacing w:line="480" w:lineRule="auto"/>
              <w:jc w:val="center"/>
              <w:rPr>
                <w:rFonts w:ascii="Times New Roman" w:hAnsi="Times New Roman" w:cs="Times New Roman"/>
                <w:b/>
                <w:bCs/>
                <w:sz w:val="24"/>
                <w:szCs w:val="24"/>
              </w:rPr>
            </w:pPr>
            <w:r w:rsidRPr="00305035">
              <w:rPr>
                <w:rFonts w:ascii="Times New Roman" w:hAnsi="Times New Roman" w:cs="Times New Roman"/>
                <w:b/>
                <w:bCs/>
                <w:sz w:val="24"/>
                <w:szCs w:val="24"/>
              </w:rPr>
              <w:t>60</w:t>
            </w:r>
          </w:p>
        </w:tc>
      </w:tr>
    </w:tbl>
    <w:p w14:paraId="2BF1D8E6" w14:textId="77777777" w:rsidR="00D4379A" w:rsidRPr="00305035" w:rsidRDefault="00D4379A" w:rsidP="00D4379A">
      <w:pPr>
        <w:pStyle w:val="Caption"/>
        <w:framePr w:w="3781" w:h="757" w:hRule="exact" w:hSpace="180" w:wrap="around" w:vAnchor="text" w:hAnchor="page" w:x="1393" w:y="254"/>
        <w:jc w:val="center"/>
        <w:rPr>
          <w:rFonts w:ascii="Times New Roman" w:hAnsi="Times New Roman" w:cs="Times New Roman"/>
          <w:sz w:val="24"/>
          <w:szCs w:val="24"/>
        </w:rPr>
      </w:pPr>
      <w:r w:rsidRPr="00305035">
        <w:rPr>
          <w:rFonts w:ascii="Times New Roman" w:hAnsi="Times New Roman" w:cs="Times New Roman"/>
          <w:b/>
          <w:bCs/>
          <w:color w:val="auto"/>
          <w:sz w:val="24"/>
          <w:szCs w:val="24"/>
        </w:rPr>
        <w:t>Table</w:t>
      </w:r>
      <w:r>
        <w:rPr>
          <w:rFonts w:ascii="Times New Roman" w:hAnsi="Times New Roman" w:cs="Times New Roman"/>
          <w:b/>
          <w:bCs/>
          <w:color w:val="auto"/>
          <w:sz w:val="24"/>
          <w:szCs w:val="24"/>
        </w:rPr>
        <w:t xml:space="preserve"> 4</w:t>
      </w:r>
      <w:r w:rsidRPr="00305035">
        <w:rPr>
          <w:rFonts w:ascii="Times New Roman" w:hAnsi="Times New Roman" w:cs="Times New Roman"/>
          <w:b/>
          <w:bCs/>
          <w:color w:val="auto"/>
          <w:sz w:val="24"/>
          <w:szCs w:val="24"/>
        </w:rPr>
        <w:t xml:space="preserve"> – Family Members of Respondents</w:t>
      </w:r>
      <w:r w:rsidRPr="00305035">
        <w:rPr>
          <w:rFonts w:ascii="Times New Roman" w:hAnsi="Times New Roman" w:cs="Times New Roman"/>
          <w:sz w:val="24"/>
          <w:szCs w:val="24"/>
        </w:rPr>
        <w:br w:type="textWrapping" w:clear="all"/>
      </w:r>
    </w:p>
    <w:p w14:paraId="781AAA25" w14:textId="77777777" w:rsidR="00D4379A" w:rsidRPr="00305035" w:rsidRDefault="00D4379A" w:rsidP="00D4379A">
      <w:pPr>
        <w:spacing w:line="480" w:lineRule="auto"/>
        <w:jc w:val="both"/>
        <w:rPr>
          <w:rFonts w:ascii="Times New Roman" w:hAnsi="Times New Roman" w:cs="Times New Roman"/>
          <w:sz w:val="24"/>
          <w:szCs w:val="24"/>
        </w:rPr>
      </w:pPr>
      <w:r w:rsidRPr="00305035">
        <mc:AlternateContent>
          <mc:Choice Requires="wps">
            <w:drawing>
              <wp:anchor distT="0" distB="0" distL="114300" distR="114300" simplePos="0" relativeHeight="251708416" behindDoc="1" locked="0" layoutInCell="1" allowOverlap="1" wp14:anchorId="0E786502" wp14:editId="3BC7A836">
                <wp:simplePos x="0" y="0"/>
                <wp:positionH relativeFrom="column">
                  <wp:posOffset>2949575</wp:posOffset>
                </wp:positionH>
                <wp:positionV relativeFrom="paragraph">
                  <wp:posOffset>296545</wp:posOffset>
                </wp:positionV>
                <wp:extent cx="3223260" cy="419100"/>
                <wp:effectExtent l="0" t="0" r="0" b="0"/>
                <wp:wrapNone/>
                <wp:docPr id="77872261" name="Text Box 1"/>
                <wp:cNvGraphicFramePr/>
                <a:graphic xmlns:a="http://schemas.openxmlformats.org/drawingml/2006/main">
                  <a:graphicData uri="http://schemas.microsoft.com/office/word/2010/wordprocessingShape">
                    <wps:wsp>
                      <wps:cNvSpPr txBox="1"/>
                      <wps:spPr>
                        <a:xfrm>
                          <a:off x="0" y="0"/>
                          <a:ext cx="3223260" cy="419100"/>
                        </a:xfrm>
                        <a:prstGeom prst="rect">
                          <a:avLst/>
                        </a:prstGeom>
                        <a:solidFill>
                          <a:prstClr val="white"/>
                        </a:solidFill>
                        <a:ln>
                          <a:noFill/>
                        </a:ln>
                      </wps:spPr>
                      <wps:txbx>
                        <w:txbxContent>
                          <w:p w14:paraId="7E0314AF" w14:textId="77777777" w:rsidR="00D4379A" w:rsidRPr="00305035" w:rsidRDefault="00D4379A" w:rsidP="00D4379A">
                            <w:pPr>
                              <w:pStyle w:val="Caption"/>
                              <w:jc w:val="center"/>
                              <w:rPr>
                                <w:rFonts w:ascii="Times New Roman" w:hAnsi="Times New Roman" w:cs="Times New Roman"/>
                                <w:b/>
                                <w:bCs/>
                                <w:color w:val="auto"/>
                                <w:sz w:val="24"/>
                                <w:szCs w:val="24"/>
                              </w:rPr>
                            </w:pPr>
                            <w:r w:rsidRPr="00305035">
                              <w:rPr>
                                <w:rFonts w:ascii="Times New Roman" w:hAnsi="Times New Roman" w:cs="Times New Roman"/>
                                <w:b/>
                                <w:bCs/>
                                <w:color w:val="auto"/>
                                <w:sz w:val="24"/>
                                <w:szCs w:val="24"/>
                              </w:rPr>
                              <w:t>Figure</w:t>
                            </w:r>
                            <w:r>
                              <w:rPr>
                                <w:rFonts w:ascii="Times New Roman" w:hAnsi="Times New Roman" w:cs="Times New Roman"/>
                                <w:b/>
                                <w:bCs/>
                                <w:color w:val="auto"/>
                                <w:sz w:val="24"/>
                                <w:szCs w:val="24"/>
                              </w:rPr>
                              <w:t xml:space="preserve"> 4 </w:t>
                            </w:r>
                            <w:r w:rsidRPr="00305035">
                              <w:rPr>
                                <w:rFonts w:ascii="Times New Roman" w:hAnsi="Times New Roman" w:cs="Times New Roman"/>
                                <w:b/>
                                <w:bCs/>
                                <w:color w:val="auto"/>
                                <w:sz w:val="24"/>
                                <w:szCs w:val="24"/>
                              </w:rPr>
                              <w:t xml:space="preserve"> – Family Size Distribution of Respondents</w:t>
                            </w:r>
                          </w:p>
                          <w:p w14:paraId="573D87E4" w14:textId="77777777" w:rsidR="00D4379A" w:rsidRPr="00305035" w:rsidRDefault="00D4379A" w:rsidP="00D4379A"/>
                          <w:p w14:paraId="6E931BA7" w14:textId="77777777" w:rsidR="00D4379A" w:rsidRPr="00305035" w:rsidRDefault="00D4379A" w:rsidP="00D4379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86502" id="_x0000_s1030" type="#_x0000_t202" style="position:absolute;left:0;text-align:left;margin-left:232.25pt;margin-top:23.35pt;width:253.8pt;height:33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" stroked="f">
                <v:textbox inset="0,0,0,0">
                  <w:txbxContent>
                    <w:p w14:paraId="7E0314AF" w14:textId="77777777" w:rsidR="00D4379A" w:rsidRPr="00305035" w:rsidRDefault="00D4379A" w:rsidP="00D4379A">
                      <w:pPr>
                        <w:pStyle w:val="Caption"/>
                        <w:jc w:val="center"/>
                        <w:rPr>
                          <w:rFonts w:ascii="Times New Roman" w:hAnsi="Times New Roman" w:cs="Times New Roman"/>
                          <w:b/>
                          <w:bCs/>
                          <w:color w:val="auto"/>
                          <w:sz w:val="24"/>
                          <w:szCs w:val="24"/>
                        </w:rPr>
                      </w:pPr>
                      <w:r w:rsidRPr="00305035">
                        <w:rPr>
                          <w:rFonts w:ascii="Times New Roman" w:hAnsi="Times New Roman" w:cs="Times New Roman"/>
                          <w:b/>
                          <w:bCs/>
                          <w:color w:val="auto"/>
                          <w:sz w:val="24"/>
                          <w:szCs w:val="24"/>
                        </w:rPr>
                        <w:t>Figure</w:t>
                      </w:r>
                      <w:r>
                        <w:rPr>
                          <w:rFonts w:ascii="Times New Roman" w:hAnsi="Times New Roman" w:cs="Times New Roman"/>
                          <w:b/>
                          <w:bCs/>
                          <w:color w:val="auto"/>
                          <w:sz w:val="24"/>
                          <w:szCs w:val="24"/>
                        </w:rPr>
                        <w:t xml:space="preserve"> 4 </w:t>
                      </w:r>
                      <w:r w:rsidRPr="00305035">
                        <w:rPr>
                          <w:rFonts w:ascii="Times New Roman" w:hAnsi="Times New Roman" w:cs="Times New Roman"/>
                          <w:b/>
                          <w:bCs/>
                          <w:color w:val="auto"/>
                          <w:sz w:val="24"/>
                          <w:szCs w:val="24"/>
                        </w:rPr>
                        <w:t xml:space="preserve"> – Family Size Distribution of Respondents</w:t>
                      </w:r>
                    </w:p>
                    <w:p w14:paraId="573D87E4" w14:textId="77777777" w:rsidR="00D4379A" w:rsidRPr="00305035" w:rsidRDefault="00D4379A" w:rsidP="00D4379A"/>
                    <w:p w14:paraId="6E931BA7" w14:textId="77777777" w:rsidR="00D4379A" w:rsidRPr="00305035" w:rsidRDefault="00D4379A" w:rsidP="00D4379A"/>
                  </w:txbxContent>
                </v:textbox>
              </v:shape>
            </w:pict>
          </mc:Fallback>
        </mc:AlternateContent>
      </w:r>
    </w:p>
    <w:p w14:paraId="31FE4F4B" w14:textId="77777777" w:rsidR="00D4379A" w:rsidRPr="00305035" w:rsidRDefault="00D4379A" w:rsidP="00D4379A">
      <w:pPr>
        <w:spacing w:line="480" w:lineRule="auto"/>
        <w:jc w:val="both"/>
        <w:rPr>
          <w:rFonts w:ascii="Times New Roman" w:hAnsi="Times New Roman" w:cs="Times New Roman"/>
          <w:b/>
          <w:bCs/>
          <w:sz w:val="24"/>
          <w:szCs w:val="24"/>
        </w:rPr>
      </w:pPr>
    </w:p>
    <w:p w14:paraId="0434C1D9" w14:textId="77777777" w:rsidR="00D4379A" w:rsidRPr="00645AEF" w:rsidRDefault="00D4379A" w:rsidP="00D4379A">
      <w:pPr>
        <w:spacing w:line="480" w:lineRule="auto"/>
        <w:jc w:val="both"/>
        <w:rPr>
          <w:rFonts w:ascii="Times New Roman" w:hAnsi="Times New Roman" w:cs="Times New Roman"/>
          <w:b/>
          <w:bCs/>
          <w:sz w:val="24"/>
          <w:szCs w:val="24"/>
        </w:rPr>
      </w:pPr>
      <w:r w:rsidRPr="00305035">
        <w:rPr>
          <w:rFonts w:ascii="Times New Roman" w:hAnsi="Times New Roman" w:cs="Times New Roman"/>
          <w:b/>
          <w:bCs/>
          <w:sz w:val="24"/>
          <w:szCs w:val="24"/>
        </w:rPr>
        <w:t>Discussion:</w:t>
      </w:r>
      <w:r w:rsidRPr="00305035">
        <w:rPr>
          <w:rFonts w:ascii="Times New Roman" w:hAnsi="Times New Roman" w:cs="Times New Roman"/>
          <w:sz w:val="24"/>
          <w:szCs w:val="24"/>
        </w:rPr>
        <w:br/>
        <w:t xml:space="preserve">The data indicate that most respondents come from moderately sized families (3–5 members), which may influence household </w:t>
      </w:r>
      <w:r>
        <w:rPr>
          <w:rFonts w:ascii="Times New Roman" w:hAnsi="Times New Roman" w:cs="Times New Roman"/>
          <w:sz w:val="24"/>
          <w:szCs w:val="24"/>
        </w:rPr>
        <w:t>labour</w:t>
      </w:r>
      <w:r w:rsidRPr="00305035">
        <w:rPr>
          <w:rFonts w:ascii="Times New Roman" w:hAnsi="Times New Roman" w:cs="Times New Roman"/>
          <w:sz w:val="24"/>
          <w:szCs w:val="24"/>
        </w:rPr>
        <w:t xml:space="preserve"> dynamics and decision-making in farm activities. Families with more than 5 members are less common among the surveyed population.</w:t>
      </w:r>
    </w:p>
    <w:p w14:paraId="76FD4DE3" w14:textId="5D4798A5" w:rsidR="00D4379A" w:rsidRPr="00DA7310" w:rsidRDefault="00D4379A" w:rsidP="00D4379A">
      <w:pPr>
        <w:spacing w:line="480" w:lineRule="auto"/>
        <w:jc w:val="both"/>
        <w:rPr>
          <w:rFonts w:ascii="Times New Roman" w:hAnsi="Times New Roman" w:cs="Times New Roman"/>
          <w:sz w:val="24"/>
          <w:szCs w:val="24"/>
        </w:rPr>
      </w:pPr>
      <w:r>
        <w:rPr>
          <w:rFonts w:ascii="Times New Roman" w:hAnsi="Times New Roman" w:cs="Times New Roman"/>
          <w:b/>
          <w:bCs/>
          <w:sz w:val="24"/>
          <w:szCs w:val="24"/>
        </w:rPr>
        <w:t xml:space="preserve">4.5. </w:t>
      </w:r>
      <w:r w:rsidRPr="00DA7310">
        <w:rPr>
          <w:rFonts w:ascii="Times New Roman" w:hAnsi="Times New Roman" w:cs="Times New Roman"/>
          <w:b/>
          <w:bCs/>
          <w:sz w:val="24"/>
          <w:szCs w:val="24"/>
        </w:rPr>
        <w:t>Annual Income of Respondents</w:t>
      </w:r>
    </w:p>
    <w:p w14:paraId="6EA1F62C" w14:textId="77777777" w:rsidR="00D4379A" w:rsidRPr="00305035" w:rsidRDefault="00D4379A" w:rsidP="00D4379A">
      <w:pPr>
        <w:spacing w:line="480" w:lineRule="auto"/>
        <w:jc w:val="both"/>
        <w:rPr>
          <w:rFonts w:ascii="Times New Roman" w:hAnsi="Times New Roman" w:cs="Times New Roman"/>
          <w:sz w:val="24"/>
          <w:szCs w:val="24"/>
        </w:rPr>
      </w:pPr>
      <w:r w:rsidRPr="00DA7310">
        <w:rPr>
          <w:rFonts w:ascii="Times New Roman" w:hAnsi="Times New Roman" w:cs="Times New Roman"/>
          <w:sz w:val="24"/>
          <w:szCs w:val="24"/>
        </w:rPr>
        <w:t>The annual income of the surveyed farmers was recorded to understand their economic status. The distribution of respondents according to income levels is presented</w:t>
      </w:r>
    </w:p>
    <w:p w14:paraId="566DE7CD" w14:textId="77777777" w:rsidR="00D4379A" w:rsidRPr="00305035" w:rsidRDefault="00D4379A" w:rsidP="00D4379A">
      <w:pPr>
        <w:spacing w:line="480" w:lineRule="auto"/>
        <w:jc w:val="both"/>
        <w:rPr>
          <w:rFonts w:ascii="Times New Roman" w:hAnsi="Times New Roman" w:cs="Times New Roman"/>
          <w:sz w:val="24"/>
          <w:szCs w:val="24"/>
        </w:rPr>
      </w:pPr>
    </w:p>
    <w:tbl>
      <w:tblPr>
        <w:tblStyle w:val="TableGrid"/>
        <w:tblpPr w:leftFromText="180" w:rightFromText="180" w:vertAnchor="text" w:tblpY="1"/>
        <w:tblOverlap w:val="never"/>
        <w:tblW w:w="0" w:type="auto"/>
        <w:tblLook w:val="04A0" w:firstRow="1" w:lastRow="0" w:firstColumn="1" w:lastColumn="0" w:noHBand="0" w:noVBand="1"/>
      </w:tblPr>
      <w:tblGrid>
        <w:gridCol w:w="2031"/>
        <w:gridCol w:w="2181"/>
      </w:tblGrid>
      <w:tr w:rsidR="00D4379A" w14:paraId="0D42CD80" w14:textId="77777777" w:rsidTr="006E7FCA">
        <w:trPr>
          <w:trHeight w:val="1169"/>
        </w:trPr>
        <w:tc>
          <w:tcPr>
            <w:tcW w:w="2031" w:type="dxa"/>
          </w:tcPr>
          <w:p w14:paraId="51627A04" w14:textId="77777777" w:rsidR="00D4379A" w:rsidRPr="00C57620" w:rsidRDefault="00D4379A" w:rsidP="006E7FCA">
            <w:pPr>
              <w:jc w:val="center"/>
              <w:rPr>
                <w:rFonts w:ascii="Times New Roman" w:hAnsi="Times New Roman" w:cs="Times New Roman"/>
                <w:b/>
                <w:bCs/>
                <w:noProof w:val="0"/>
                <w:sz w:val="24"/>
                <w:szCs w:val="24"/>
              </w:rPr>
            </w:pPr>
            <w:r w:rsidRPr="00C57620">
              <w:rPr>
                <w:rFonts w:ascii="Times New Roman" w:hAnsi="Times New Roman" w:cs="Times New Roman"/>
                <w:b/>
                <w:bCs/>
                <w:sz w:val="24"/>
                <w:szCs w:val="24"/>
              </w:rPr>
              <w:lastRenderedPageBreak/>
              <w:t>Annual Income (₹)</w:t>
            </w:r>
          </w:p>
        </w:tc>
        <w:tc>
          <w:tcPr>
            <w:tcW w:w="2181" w:type="dxa"/>
          </w:tcPr>
          <w:p w14:paraId="49EFBD6D" w14:textId="77777777" w:rsidR="00D4379A" w:rsidRPr="00C57620" w:rsidRDefault="00D4379A" w:rsidP="006E7FCA">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No. of. Participants</w:t>
            </w:r>
          </w:p>
        </w:tc>
      </w:tr>
      <w:tr w:rsidR="00D4379A" w14:paraId="145D3830" w14:textId="77777777" w:rsidTr="006E7FCA">
        <w:trPr>
          <w:trHeight w:val="584"/>
        </w:trPr>
        <w:tc>
          <w:tcPr>
            <w:tcW w:w="2031" w:type="dxa"/>
          </w:tcPr>
          <w:p w14:paraId="56D2653D" w14:textId="77777777" w:rsidR="00D4379A" w:rsidRPr="00C57620" w:rsidRDefault="00D4379A" w:rsidP="006E7FCA">
            <w:pPr>
              <w:spacing w:line="480" w:lineRule="auto"/>
              <w:jc w:val="center"/>
              <w:rPr>
                <w:rFonts w:ascii="Times New Roman" w:hAnsi="Times New Roman" w:cs="Times New Roman"/>
                <w:sz w:val="24"/>
                <w:szCs w:val="24"/>
              </w:rPr>
            </w:pPr>
            <w:r w:rsidRPr="00C57620">
              <w:rPr>
                <w:rFonts w:ascii="Times New Roman" w:hAnsi="Times New Roman" w:cs="Times New Roman"/>
                <w:sz w:val="24"/>
                <w:szCs w:val="24"/>
              </w:rPr>
              <w:t>&lt; 50,000</w:t>
            </w:r>
          </w:p>
        </w:tc>
        <w:tc>
          <w:tcPr>
            <w:tcW w:w="2181" w:type="dxa"/>
          </w:tcPr>
          <w:p w14:paraId="6082C8C6" w14:textId="59BC894F" w:rsidR="00D4379A" w:rsidRPr="00C57620" w:rsidRDefault="001335F0" w:rsidP="006E7FCA">
            <w:pPr>
              <w:spacing w:line="48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D4379A" w14:paraId="478F94A2" w14:textId="77777777" w:rsidTr="006E7FCA">
        <w:trPr>
          <w:trHeight w:val="571"/>
        </w:trPr>
        <w:tc>
          <w:tcPr>
            <w:tcW w:w="2031" w:type="dxa"/>
          </w:tcPr>
          <w:p w14:paraId="57413E43" w14:textId="77777777" w:rsidR="00D4379A" w:rsidRPr="00C57620" w:rsidRDefault="00D4379A" w:rsidP="006E7FCA">
            <w:pPr>
              <w:spacing w:line="480" w:lineRule="auto"/>
              <w:jc w:val="center"/>
              <w:rPr>
                <w:rFonts w:ascii="Times New Roman" w:hAnsi="Times New Roman" w:cs="Times New Roman"/>
                <w:sz w:val="24"/>
                <w:szCs w:val="24"/>
              </w:rPr>
            </w:pPr>
            <w:r w:rsidRPr="00C57620">
              <w:rPr>
                <w:rFonts w:ascii="Times New Roman" w:hAnsi="Times New Roman" w:cs="Times New Roman"/>
                <w:sz w:val="24"/>
                <w:szCs w:val="24"/>
              </w:rPr>
              <w:t>50,000 – 1,00,000</w:t>
            </w:r>
          </w:p>
        </w:tc>
        <w:tc>
          <w:tcPr>
            <w:tcW w:w="2181" w:type="dxa"/>
          </w:tcPr>
          <w:p w14:paraId="7CFE6C59" w14:textId="1849BD3F" w:rsidR="00D4379A" w:rsidRPr="00C57620" w:rsidRDefault="001335F0" w:rsidP="006E7FCA">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4379A" w14:paraId="64004FD8" w14:textId="77777777" w:rsidTr="006E7FCA">
        <w:trPr>
          <w:trHeight w:val="1169"/>
        </w:trPr>
        <w:tc>
          <w:tcPr>
            <w:tcW w:w="2031" w:type="dxa"/>
          </w:tcPr>
          <w:p w14:paraId="6A45DFE5" w14:textId="77777777" w:rsidR="00D4379A" w:rsidRPr="00C57620" w:rsidRDefault="00D4379A" w:rsidP="006E7FCA">
            <w:pPr>
              <w:spacing w:line="480" w:lineRule="auto"/>
              <w:jc w:val="center"/>
              <w:rPr>
                <w:rFonts w:ascii="Times New Roman" w:hAnsi="Times New Roman" w:cs="Times New Roman"/>
                <w:sz w:val="24"/>
                <w:szCs w:val="24"/>
              </w:rPr>
            </w:pPr>
            <w:r w:rsidRPr="00C57620">
              <w:rPr>
                <w:rFonts w:ascii="Times New Roman" w:hAnsi="Times New Roman" w:cs="Times New Roman"/>
                <w:sz w:val="24"/>
                <w:szCs w:val="24"/>
              </w:rPr>
              <w:t>1,00,000 – 2,50,000</w:t>
            </w:r>
          </w:p>
        </w:tc>
        <w:tc>
          <w:tcPr>
            <w:tcW w:w="2181" w:type="dxa"/>
          </w:tcPr>
          <w:p w14:paraId="15AB3441" w14:textId="783EED02" w:rsidR="00D4379A" w:rsidRPr="00C57620" w:rsidRDefault="00D4379A" w:rsidP="006E7FCA">
            <w:pPr>
              <w:spacing w:line="480" w:lineRule="auto"/>
              <w:jc w:val="center"/>
              <w:rPr>
                <w:rFonts w:ascii="Times New Roman" w:hAnsi="Times New Roman" w:cs="Times New Roman"/>
                <w:sz w:val="24"/>
                <w:szCs w:val="24"/>
              </w:rPr>
            </w:pPr>
            <w:r w:rsidRPr="00C57620">
              <w:rPr>
                <w:rFonts w:ascii="Times New Roman" w:hAnsi="Times New Roman" w:cs="Times New Roman"/>
                <w:sz w:val="24"/>
                <w:szCs w:val="24"/>
              </w:rPr>
              <w:t>4</w:t>
            </w:r>
            <w:r w:rsidR="001335F0">
              <w:rPr>
                <w:rFonts w:ascii="Times New Roman" w:hAnsi="Times New Roman" w:cs="Times New Roman"/>
                <w:sz w:val="24"/>
                <w:szCs w:val="24"/>
              </w:rPr>
              <w:t>9</w:t>
            </w:r>
          </w:p>
        </w:tc>
      </w:tr>
      <w:tr w:rsidR="00D4379A" w14:paraId="5BBFEEEE" w14:textId="77777777" w:rsidTr="006E7FCA">
        <w:trPr>
          <w:trHeight w:val="584"/>
        </w:trPr>
        <w:tc>
          <w:tcPr>
            <w:tcW w:w="2031" w:type="dxa"/>
          </w:tcPr>
          <w:p w14:paraId="7B03EE14" w14:textId="77777777" w:rsidR="00D4379A" w:rsidRPr="00C57620" w:rsidRDefault="00D4379A" w:rsidP="006E7FCA">
            <w:pPr>
              <w:spacing w:line="480" w:lineRule="auto"/>
              <w:jc w:val="center"/>
              <w:rPr>
                <w:rFonts w:ascii="Times New Roman" w:hAnsi="Times New Roman" w:cs="Times New Roman"/>
                <w:sz w:val="24"/>
                <w:szCs w:val="24"/>
              </w:rPr>
            </w:pPr>
            <w:r w:rsidRPr="00C57620">
              <w:rPr>
                <w:rFonts w:ascii="Times New Roman" w:hAnsi="Times New Roman" w:cs="Times New Roman"/>
                <w:sz w:val="24"/>
                <w:szCs w:val="24"/>
              </w:rPr>
              <w:t>&gt; 2,50,000</w:t>
            </w:r>
          </w:p>
        </w:tc>
        <w:tc>
          <w:tcPr>
            <w:tcW w:w="2181" w:type="dxa"/>
          </w:tcPr>
          <w:p w14:paraId="60D16296" w14:textId="77777777" w:rsidR="00D4379A" w:rsidRPr="00C57620" w:rsidRDefault="00D4379A" w:rsidP="006E7FCA">
            <w:pPr>
              <w:spacing w:line="480" w:lineRule="auto"/>
              <w:jc w:val="center"/>
              <w:rPr>
                <w:rFonts w:ascii="Times New Roman" w:hAnsi="Times New Roman" w:cs="Times New Roman"/>
                <w:sz w:val="24"/>
                <w:szCs w:val="24"/>
              </w:rPr>
            </w:pPr>
            <w:r w:rsidRPr="00C57620">
              <w:rPr>
                <w:rFonts w:ascii="Times New Roman" w:hAnsi="Times New Roman" w:cs="Times New Roman"/>
                <w:sz w:val="24"/>
                <w:szCs w:val="24"/>
              </w:rPr>
              <w:t>10</w:t>
            </w:r>
          </w:p>
        </w:tc>
      </w:tr>
      <w:tr w:rsidR="00D4379A" w14:paraId="1990CCF6" w14:textId="77777777" w:rsidTr="006E7FCA">
        <w:trPr>
          <w:trHeight w:val="584"/>
        </w:trPr>
        <w:tc>
          <w:tcPr>
            <w:tcW w:w="2031" w:type="dxa"/>
          </w:tcPr>
          <w:p w14:paraId="6D3E0384" w14:textId="77777777" w:rsidR="00D4379A" w:rsidRPr="00C57620" w:rsidRDefault="00D4379A" w:rsidP="006E7FCA">
            <w:pPr>
              <w:spacing w:line="480" w:lineRule="auto"/>
              <w:jc w:val="center"/>
              <w:rPr>
                <w:rFonts w:ascii="Times New Roman" w:hAnsi="Times New Roman" w:cs="Times New Roman"/>
                <w:b/>
                <w:bCs/>
                <w:sz w:val="24"/>
                <w:szCs w:val="24"/>
              </w:rPr>
            </w:pPr>
            <w:r w:rsidRPr="00C57620">
              <w:rPr>
                <w:rFonts w:ascii="Times New Roman" w:hAnsi="Times New Roman" w:cs="Times New Roman"/>
                <w:b/>
                <w:bCs/>
                <w:sz w:val="24"/>
                <w:szCs w:val="24"/>
              </w:rPr>
              <w:t>Total</w:t>
            </w:r>
          </w:p>
        </w:tc>
        <w:tc>
          <w:tcPr>
            <w:tcW w:w="2181" w:type="dxa"/>
          </w:tcPr>
          <w:p w14:paraId="7F19BDBC" w14:textId="77777777" w:rsidR="00D4379A" w:rsidRPr="00C57620" w:rsidRDefault="00D4379A" w:rsidP="006E7FCA">
            <w:pPr>
              <w:spacing w:line="480" w:lineRule="auto"/>
              <w:jc w:val="center"/>
              <w:rPr>
                <w:rFonts w:ascii="Times New Roman" w:hAnsi="Times New Roman" w:cs="Times New Roman"/>
                <w:b/>
                <w:bCs/>
                <w:sz w:val="24"/>
                <w:szCs w:val="24"/>
              </w:rPr>
            </w:pPr>
            <w:r w:rsidRPr="00C57620">
              <w:rPr>
                <w:rFonts w:ascii="Times New Roman" w:hAnsi="Times New Roman" w:cs="Times New Roman"/>
                <w:b/>
                <w:bCs/>
                <w:sz w:val="24"/>
                <w:szCs w:val="24"/>
              </w:rPr>
              <w:t>60</w:t>
            </w:r>
          </w:p>
        </w:tc>
      </w:tr>
    </w:tbl>
    <w:p w14:paraId="6313AFFD" w14:textId="77777777" w:rsidR="00D4379A" w:rsidRPr="00305035" w:rsidRDefault="00D4379A" w:rsidP="00D4379A">
      <w:pPr>
        <w:pStyle w:val="Caption"/>
        <w:framePr w:w="3781" w:h="757" w:hRule="exact" w:hSpace="180" w:wrap="around" w:vAnchor="text" w:hAnchor="page" w:x="1537" w:y="4909"/>
        <w:jc w:val="center"/>
        <w:rPr>
          <w:rFonts w:ascii="Times New Roman" w:hAnsi="Times New Roman" w:cs="Times New Roman"/>
          <w:sz w:val="24"/>
          <w:szCs w:val="24"/>
        </w:rPr>
      </w:pPr>
      <w:r w:rsidRPr="00305035">
        <w:rPr>
          <w:rFonts w:ascii="Times New Roman" w:hAnsi="Times New Roman" w:cs="Times New Roman"/>
          <w:b/>
          <w:bCs/>
          <w:color w:val="auto"/>
          <w:sz w:val="24"/>
          <w:szCs w:val="24"/>
        </w:rPr>
        <w:t xml:space="preserve">Table </w:t>
      </w:r>
      <w:r>
        <w:rPr>
          <w:rFonts w:ascii="Times New Roman" w:hAnsi="Times New Roman" w:cs="Times New Roman"/>
          <w:b/>
          <w:bCs/>
          <w:color w:val="auto"/>
          <w:sz w:val="24"/>
          <w:szCs w:val="24"/>
        </w:rPr>
        <w:t>5</w:t>
      </w:r>
      <w:r w:rsidRPr="00305035">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 xml:space="preserve"> Annual Income</w:t>
      </w:r>
      <w:r w:rsidRPr="00305035">
        <w:rPr>
          <w:rFonts w:ascii="Times New Roman" w:hAnsi="Times New Roman" w:cs="Times New Roman"/>
          <w:b/>
          <w:bCs/>
          <w:color w:val="auto"/>
          <w:sz w:val="24"/>
          <w:szCs w:val="24"/>
        </w:rPr>
        <w:t>of Respondents</w:t>
      </w:r>
      <w:r w:rsidRPr="00305035">
        <w:rPr>
          <w:rFonts w:ascii="Times New Roman" w:hAnsi="Times New Roman" w:cs="Times New Roman"/>
          <w:sz w:val="24"/>
          <w:szCs w:val="24"/>
        </w:rPr>
        <w:br w:type="textWrapping" w:clear="all"/>
      </w:r>
    </w:p>
    <w:p w14:paraId="72FBCACF" w14:textId="4AA3174B" w:rsidR="00D4379A" w:rsidRDefault="0002642B" w:rsidP="00D4379A">
      <w:pPr>
        <w:spacing w:line="480" w:lineRule="auto"/>
        <w:jc w:val="both"/>
        <w:rPr>
          <w:rFonts w:ascii="Times New Roman" w:hAnsi="Times New Roman" w:cs="Times New Roman"/>
          <w:b/>
          <w:bCs/>
          <w:sz w:val="24"/>
          <w:szCs w:val="24"/>
        </w:rPr>
      </w:pPr>
      <w:r>
        <w:rPr>
          <w:rFonts w:ascii="Times New Roman" w:hAnsi="Times New Roman" w:cs="Times New Roman"/>
          <w:sz w:val="24"/>
          <w:szCs w:val="24"/>
        </w:rPr>
        <w:drawing>
          <wp:anchor distT="0" distB="0" distL="114300" distR="114300" simplePos="0" relativeHeight="251715584" behindDoc="1" locked="0" layoutInCell="1" allowOverlap="1" wp14:anchorId="30F05020" wp14:editId="38895D02">
            <wp:simplePos x="0" y="0"/>
            <wp:positionH relativeFrom="column">
              <wp:posOffset>2796540</wp:posOffset>
            </wp:positionH>
            <wp:positionV relativeFrom="paragraph">
              <wp:posOffset>0</wp:posOffset>
            </wp:positionV>
            <wp:extent cx="3459480" cy="2956560"/>
            <wp:effectExtent l="0" t="0" r="7620" b="15240"/>
            <wp:wrapNone/>
            <wp:docPr id="786276459"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D4379A" w:rsidRPr="00305035">
        <mc:AlternateContent>
          <mc:Choice Requires="wps">
            <w:drawing>
              <wp:anchor distT="0" distB="0" distL="114300" distR="114300" simplePos="0" relativeHeight="251710464" behindDoc="1" locked="0" layoutInCell="1" allowOverlap="1" wp14:anchorId="759AB95B" wp14:editId="26AB8165">
                <wp:simplePos x="0" y="0"/>
                <wp:positionH relativeFrom="column">
                  <wp:posOffset>3008630</wp:posOffset>
                </wp:positionH>
                <wp:positionV relativeFrom="paragraph">
                  <wp:posOffset>3055620</wp:posOffset>
                </wp:positionV>
                <wp:extent cx="3223260" cy="419100"/>
                <wp:effectExtent l="0" t="0" r="0" b="0"/>
                <wp:wrapNone/>
                <wp:docPr id="409403244" name="Text Box 1"/>
                <wp:cNvGraphicFramePr/>
                <a:graphic xmlns:a="http://schemas.openxmlformats.org/drawingml/2006/main">
                  <a:graphicData uri="http://schemas.microsoft.com/office/word/2010/wordprocessingShape">
                    <wps:wsp>
                      <wps:cNvSpPr txBox="1"/>
                      <wps:spPr>
                        <a:xfrm>
                          <a:off x="0" y="0"/>
                          <a:ext cx="3223260" cy="419100"/>
                        </a:xfrm>
                        <a:prstGeom prst="rect">
                          <a:avLst/>
                        </a:prstGeom>
                        <a:solidFill>
                          <a:prstClr val="white"/>
                        </a:solidFill>
                        <a:ln>
                          <a:noFill/>
                        </a:ln>
                      </wps:spPr>
                      <wps:txbx>
                        <w:txbxContent>
                          <w:p w14:paraId="2D7447CB" w14:textId="77777777" w:rsidR="00D4379A" w:rsidRPr="00305035" w:rsidRDefault="00D4379A" w:rsidP="00D4379A">
                            <w:pPr>
                              <w:pStyle w:val="Caption"/>
                              <w:jc w:val="center"/>
                              <w:rPr>
                                <w:rFonts w:ascii="Times New Roman" w:hAnsi="Times New Roman" w:cs="Times New Roman"/>
                                <w:b/>
                                <w:bCs/>
                                <w:color w:val="auto"/>
                                <w:sz w:val="24"/>
                                <w:szCs w:val="24"/>
                              </w:rPr>
                            </w:pPr>
                            <w:r w:rsidRPr="00305035">
                              <w:rPr>
                                <w:rFonts w:ascii="Times New Roman" w:hAnsi="Times New Roman" w:cs="Times New Roman"/>
                                <w:b/>
                                <w:bCs/>
                                <w:color w:val="auto"/>
                                <w:sz w:val="24"/>
                                <w:szCs w:val="24"/>
                              </w:rPr>
                              <w:t xml:space="preserve">Figure </w:t>
                            </w:r>
                            <w:r>
                              <w:rPr>
                                <w:rFonts w:ascii="Times New Roman" w:hAnsi="Times New Roman" w:cs="Times New Roman"/>
                                <w:b/>
                                <w:bCs/>
                                <w:color w:val="auto"/>
                                <w:sz w:val="24"/>
                                <w:szCs w:val="24"/>
                              </w:rPr>
                              <w:t>5</w:t>
                            </w:r>
                            <w:r w:rsidRPr="00305035">
                              <w:rPr>
                                <w:rFonts w:ascii="Times New Roman" w:hAnsi="Times New Roman" w:cs="Times New Roman"/>
                                <w:b/>
                                <w:bCs/>
                                <w:color w:val="auto"/>
                                <w:sz w:val="24"/>
                                <w:szCs w:val="24"/>
                              </w:rPr>
                              <w:t xml:space="preserve"> – </w:t>
                            </w:r>
                            <w:r w:rsidRPr="004C10C6">
                              <w:rPr>
                                <w:rFonts w:ascii="Times New Roman" w:hAnsi="Times New Roman" w:cs="Times New Roman"/>
                                <w:b/>
                                <w:bCs/>
                                <w:color w:val="auto"/>
                                <w:sz w:val="24"/>
                                <w:szCs w:val="24"/>
                              </w:rPr>
                              <w:t>Percentage Distribution of Respondents by Annual Income</w:t>
                            </w:r>
                          </w:p>
                          <w:p w14:paraId="60F3021F" w14:textId="77777777" w:rsidR="00D4379A" w:rsidRPr="00305035" w:rsidRDefault="00D4379A" w:rsidP="00D4379A"/>
                          <w:p w14:paraId="65A5551F" w14:textId="77777777" w:rsidR="00D4379A" w:rsidRPr="00305035" w:rsidRDefault="00D4379A" w:rsidP="00D4379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AB95B" id="_x0000_s1031" type="#_x0000_t202" style="position:absolute;left:0;text-align:left;margin-left:236.9pt;margin-top:240.6pt;width:253.8pt;height:33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" stroked="f">
                <v:textbox inset="0,0,0,0">
                  <w:txbxContent>
                    <w:p w14:paraId="2D7447CB" w14:textId="77777777" w:rsidR="00D4379A" w:rsidRPr="00305035" w:rsidRDefault="00D4379A" w:rsidP="00D4379A">
                      <w:pPr>
                        <w:pStyle w:val="Caption"/>
                        <w:jc w:val="center"/>
                        <w:rPr>
                          <w:rFonts w:ascii="Times New Roman" w:hAnsi="Times New Roman" w:cs="Times New Roman"/>
                          <w:b/>
                          <w:bCs/>
                          <w:color w:val="auto"/>
                          <w:sz w:val="24"/>
                          <w:szCs w:val="24"/>
                        </w:rPr>
                      </w:pPr>
                      <w:r w:rsidRPr="00305035">
                        <w:rPr>
                          <w:rFonts w:ascii="Times New Roman" w:hAnsi="Times New Roman" w:cs="Times New Roman"/>
                          <w:b/>
                          <w:bCs/>
                          <w:color w:val="auto"/>
                          <w:sz w:val="24"/>
                          <w:szCs w:val="24"/>
                        </w:rPr>
                        <w:t xml:space="preserve">Figure </w:t>
                      </w:r>
                      <w:r>
                        <w:rPr>
                          <w:rFonts w:ascii="Times New Roman" w:hAnsi="Times New Roman" w:cs="Times New Roman"/>
                          <w:b/>
                          <w:bCs/>
                          <w:color w:val="auto"/>
                          <w:sz w:val="24"/>
                          <w:szCs w:val="24"/>
                        </w:rPr>
                        <w:t>5</w:t>
                      </w:r>
                      <w:r w:rsidRPr="00305035">
                        <w:rPr>
                          <w:rFonts w:ascii="Times New Roman" w:hAnsi="Times New Roman" w:cs="Times New Roman"/>
                          <w:b/>
                          <w:bCs/>
                          <w:color w:val="auto"/>
                          <w:sz w:val="24"/>
                          <w:szCs w:val="24"/>
                        </w:rPr>
                        <w:t xml:space="preserve"> – </w:t>
                      </w:r>
                      <w:r w:rsidRPr="004C10C6">
                        <w:rPr>
                          <w:rFonts w:ascii="Times New Roman" w:hAnsi="Times New Roman" w:cs="Times New Roman"/>
                          <w:b/>
                          <w:bCs/>
                          <w:color w:val="auto"/>
                          <w:sz w:val="24"/>
                          <w:szCs w:val="24"/>
                        </w:rPr>
                        <w:t>Percentage Distribution of Respondents by Annual Income</w:t>
                      </w:r>
                    </w:p>
                    <w:p w14:paraId="60F3021F" w14:textId="77777777" w:rsidR="00D4379A" w:rsidRPr="00305035" w:rsidRDefault="00D4379A" w:rsidP="00D4379A"/>
                    <w:p w14:paraId="65A5551F" w14:textId="77777777" w:rsidR="00D4379A" w:rsidRPr="00305035" w:rsidRDefault="00D4379A" w:rsidP="00D4379A"/>
                  </w:txbxContent>
                </v:textbox>
              </v:shape>
            </w:pict>
          </mc:Fallback>
        </mc:AlternateContent>
      </w:r>
      <w:r w:rsidR="00D4379A">
        <w:rPr>
          <w:rFonts w:ascii="Times New Roman" w:hAnsi="Times New Roman" w:cs="Times New Roman"/>
          <w:sz w:val="24"/>
          <w:szCs w:val="24"/>
        </w:rPr>
        <w:br w:type="textWrapping" w:clear="all"/>
      </w:r>
      <w:r w:rsidR="00D4379A" w:rsidRPr="004C10C6">
        <w:rPr>
          <w:rFonts w:ascii="Times New Roman" w:hAnsi="Times New Roman" w:cs="Times New Roman"/>
          <w:b/>
          <w:bCs/>
          <w:sz w:val="24"/>
          <w:szCs w:val="24"/>
        </w:rPr>
        <w:t>Discussion:</w:t>
      </w:r>
      <w:r w:rsidR="00D4379A" w:rsidRPr="004C10C6">
        <w:rPr>
          <w:rFonts w:ascii="Times New Roman" w:hAnsi="Times New Roman" w:cs="Times New Roman"/>
          <w:sz w:val="24"/>
          <w:szCs w:val="24"/>
        </w:rPr>
        <w:br/>
        <w:t xml:space="preserve">The data indicate that most respondents belong to the middle-income category (₹1,00,000–2,50,000), reflecting a moderate economic status among the surveyed farming community. The distribution also highlights the presence of low-income </w:t>
      </w:r>
      <w:r>
        <w:rPr>
          <w:rFonts w:ascii="Times New Roman" w:hAnsi="Times New Roman" w:cs="Times New Roman"/>
          <w:sz w:val="24"/>
          <w:szCs w:val="24"/>
        </w:rPr>
        <w:t xml:space="preserve">farmer </w:t>
      </w:r>
      <w:r w:rsidR="00D4379A" w:rsidRPr="004C10C6">
        <w:rPr>
          <w:rFonts w:ascii="Times New Roman" w:hAnsi="Times New Roman" w:cs="Times New Roman"/>
          <w:sz w:val="24"/>
          <w:szCs w:val="24"/>
        </w:rPr>
        <w:t>(₹50,000</w:t>
      </w:r>
      <w:r>
        <w:rPr>
          <w:rFonts w:ascii="Times New Roman" w:hAnsi="Times New Roman" w:cs="Times New Roman"/>
          <w:sz w:val="24"/>
          <w:szCs w:val="24"/>
        </w:rPr>
        <w:t xml:space="preserve"> - </w:t>
      </w:r>
      <w:r w:rsidRPr="004C10C6">
        <w:rPr>
          <w:rFonts w:ascii="Times New Roman" w:hAnsi="Times New Roman" w:cs="Times New Roman"/>
          <w:sz w:val="24"/>
          <w:szCs w:val="24"/>
        </w:rPr>
        <w:t>₹</w:t>
      </w:r>
      <w:r>
        <w:rPr>
          <w:rFonts w:ascii="Times New Roman" w:hAnsi="Times New Roman" w:cs="Times New Roman"/>
          <w:sz w:val="24"/>
          <w:szCs w:val="24"/>
        </w:rPr>
        <w:t>1,00,000</w:t>
      </w:r>
      <w:r w:rsidR="00D4379A" w:rsidRPr="004C10C6">
        <w:rPr>
          <w:rFonts w:ascii="Times New Roman" w:hAnsi="Times New Roman" w:cs="Times New Roman"/>
          <w:sz w:val="24"/>
          <w:szCs w:val="24"/>
        </w:rPr>
        <w:t>) and high-income farmers (&gt;₹2,50,000), suggesting a range of economic diversity within the population</w:t>
      </w:r>
    </w:p>
    <w:p w14:paraId="04950771" w14:textId="256EE925" w:rsidR="00D4379A" w:rsidRPr="00F05334" w:rsidRDefault="00D4379A" w:rsidP="00D4379A">
      <w:pPr>
        <w:spacing w:line="480" w:lineRule="auto"/>
        <w:jc w:val="both"/>
        <w:rPr>
          <w:rFonts w:ascii="Times New Roman" w:hAnsi="Times New Roman" w:cs="Times New Roman"/>
          <w:sz w:val="24"/>
          <w:szCs w:val="24"/>
        </w:rPr>
      </w:pPr>
      <w:r>
        <w:rPr>
          <w:rFonts w:ascii="Times New Roman" w:hAnsi="Times New Roman" w:cs="Times New Roman"/>
          <w:b/>
          <w:bCs/>
          <w:sz w:val="24"/>
          <w:szCs w:val="24"/>
        </w:rPr>
        <w:t xml:space="preserve">4.6. </w:t>
      </w:r>
      <w:r w:rsidRPr="00F05334">
        <w:rPr>
          <w:rFonts w:ascii="Times New Roman" w:hAnsi="Times New Roman" w:cs="Times New Roman"/>
          <w:b/>
          <w:bCs/>
          <w:sz w:val="24"/>
          <w:szCs w:val="24"/>
        </w:rPr>
        <w:t>Type of Land Owned by Respondents</w:t>
      </w:r>
    </w:p>
    <w:p w14:paraId="644B1C84" w14:textId="77777777" w:rsidR="00D4379A" w:rsidRPr="00305035" w:rsidRDefault="00D4379A" w:rsidP="00D4379A">
      <w:pPr>
        <w:pStyle w:val="Caption"/>
        <w:framePr w:w="4405" w:h="757" w:hRule="exact" w:hSpace="180" w:wrap="around" w:vAnchor="text" w:hAnchor="page" w:x="1021" w:y="4227"/>
        <w:jc w:val="center"/>
        <w:rPr>
          <w:rFonts w:ascii="Times New Roman" w:hAnsi="Times New Roman" w:cs="Times New Roman"/>
          <w:sz w:val="24"/>
          <w:szCs w:val="24"/>
        </w:rPr>
      </w:pPr>
      <w:r w:rsidRPr="00305035">
        <w:rPr>
          <w:rFonts w:ascii="Times New Roman" w:hAnsi="Times New Roman" w:cs="Times New Roman"/>
          <w:b/>
          <w:bCs/>
          <w:color w:val="auto"/>
          <w:sz w:val="24"/>
          <w:szCs w:val="24"/>
        </w:rPr>
        <w:t xml:space="preserve">Table </w:t>
      </w:r>
      <w:r>
        <w:rPr>
          <w:rFonts w:ascii="Times New Roman" w:hAnsi="Times New Roman" w:cs="Times New Roman"/>
          <w:b/>
          <w:bCs/>
          <w:color w:val="auto"/>
          <w:sz w:val="24"/>
          <w:szCs w:val="24"/>
        </w:rPr>
        <w:t>6</w:t>
      </w:r>
      <w:r w:rsidRPr="00305035">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 xml:space="preserve">  </w:t>
      </w:r>
      <w:r w:rsidRPr="0062242C">
        <w:rPr>
          <w:rFonts w:ascii="Times New Roman" w:hAnsi="Times New Roman" w:cs="Times New Roman"/>
          <w:b/>
          <w:bCs/>
          <w:color w:val="auto"/>
          <w:sz w:val="24"/>
          <w:szCs w:val="24"/>
        </w:rPr>
        <w:t>Type of Land Owned by Respondents</w:t>
      </w:r>
      <w:r w:rsidRPr="00305035">
        <w:rPr>
          <w:rFonts w:ascii="Times New Roman" w:hAnsi="Times New Roman" w:cs="Times New Roman"/>
          <w:sz w:val="24"/>
          <w:szCs w:val="24"/>
        </w:rPr>
        <w:br w:type="textWrapping" w:clear="all"/>
      </w:r>
    </w:p>
    <w:p w14:paraId="3091E313" w14:textId="77777777" w:rsidR="00D4379A" w:rsidRPr="00F05334" w:rsidRDefault="00D4379A" w:rsidP="00D4379A">
      <w:pPr>
        <w:spacing w:line="480" w:lineRule="auto"/>
        <w:jc w:val="both"/>
        <w:rPr>
          <w:rFonts w:ascii="Times New Roman" w:hAnsi="Times New Roman" w:cs="Times New Roman"/>
          <w:sz w:val="24"/>
          <w:szCs w:val="24"/>
        </w:rPr>
      </w:pPr>
      <w:r w:rsidRPr="00305035">
        <mc:AlternateContent>
          <mc:Choice Requires="wps">
            <w:drawing>
              <wp:anchor distT="0" distB="0" distL="114300" distR="114300" simplePos="0" relativeHeight="251712512" behindDoc="1" locked="0" layoutInCell="1" allowOverlap="1" wp14:anchorId="5508C5EA" wp14:editId="4C9D9120">
                <wp:simplePos x="0" y="0"/>
                <wp:positionH relativeFrom="column">
                  <wp:posOffset>2659380</wp:posOffset>
                </wp:positionH>
                <wp:positionV relativeFrom="paragraph">
                  <wp:posOffset>2705100</wp:posOffset>
                </wp:positionV>
                <wp:extent cx="3223260" cy="297180"/>
                <wp:effectExtent l="0" t="0" r="0" b="7620"/>
                <wp:wrapNone/>
                <wp:docPr id="948821491" name="Text Box 1"/>
                <wp:cNvGraphicFramePr/>
                <a:graphic xmlns:a="http://schemas.openxmlformats.org/drawingml/2006/main">
                  <a:graphicData uri="http://schemas.microsoft.com/office/word/2010/wordprocessingShape">
                    <wps:wsp>
                      <wps:cNvSpPr txBox="1"/>
                      <wps:spPr>
                        <a:xfrm>
                          <a:off x="0" y="0"/>
                          <a:ext cx="3223260" cy="297180"/>
                        </a:xfrm>
                        <a:prstGeom prst="rect">
                          <a:avLst/>
                        </a:prstGeom>
                        <a:solidFill>
                          <a:prstClr val="white"/>
                        </a:solidFill>
                        <a:ln>
                          <a:noFill/>
                        </a:ln>
                      </wps:spPr>
                      <wps:txbx>
                        <w:txbxContent>
                          <w:p w14:paraId="44F8E384" w14:textId="77777777" w:rsidR="00D4379A" w:rsidRPr="00305035" w:rsidRDefault="00D4379A" w:rsidP="00D4379A">
                            <w:pPr>
                              <w:pStyle w:val="Caption"/>
                              <w:jc w:val="center"/>
                              <w:rPr>
                                <w:rFonts w:ascii="Times New Roman" w:hAnsi="Times New Roman" w:cs="Times New Roman"/>
                                <w:b/>
                                <w:bCs/>
                                <w:color w:val="auto"/>
                                <w:sz w:val="24"/>
                                <w:szCs w:val="24"/>
                              </w:rPr>
                            </w:pPr>
                            <w:r w:rsidRPr="00305035">
                              <w:rPr>
                                <w:rFonts w:ascii="Times New Roman" w:hAnsi="Times New Roman" w:cs="Times New Roman"/>
                                <w:b/>
                                <w:bCs/>
                                <w:color w:val="auto"/>
                                <w:sz w:val="24"/>
                                <w:szCs w:val="24"/>
                              </w:rPr>
                              <w:t xml:space="preserve">Figure </w:t>
                            </w:r>
                            <w:r>
                              <w:rPr>
                                <w:rFonts w:ascii="Times New Roman" w:hAnsi="Times New Roman" w:cs="Times New Roman"/>
                                <w:b/>
                                <w:bCs/>
                                <w:color w:val="auto"/>
                                <w:sz w:val="24"/>
                                <w:szCs w:val="24"/>
                              </w:rPr>
                              <w:t>6</w:t>
                            </w:r>
                            <w:r w:rsidRPr="00305035">
                              <w:rPr>
                                <w:rFonts w:ascii="Times New Roman" w:hAnsi="Times New Roman" w:cs="Times New Roman"/>
                                <w:b/>
                                <w:bCs/>
                                <w:color w:val="auto"/>
                                <w:sz w:val="24"/>
                                <w:szCs w:val="24"/>
                              </w:rPr>
                              <w:t xml:space="preserve"> – </w:t>
                            </w:r>
                            <w:r w:rsidRPr="004C10C6">
                              <w:rPr>
                                <w:rFonts w:ascii="Times New Roman" w:hAnsi="Times New Roman" w:cs="Times New Roman"/>
                                <w:b/>
                                <w:bCs/>
                                <w:color w:val="auto"/>
                                <w:sz w:val="24"/>
                                <w:szCs w:val="24"/>
                              </w:rPr>
                              <w:t xml:space="preserve">Percentage Distribution of </w:t>
                            </w:r>
                            <w:r>
                              <w:rPr>
                                <w:rFonts w:ascii="Times New Roman" w:hAnsi="Times New Roman" w:cs="Times New Roman"/>
                                <w:b/>
                                <w:bCs/>
                                <w:color w:val="auto"/>
                                <w:sz w:val="24"/>
                                <w:szCs w:val="24"/>
                              </w:rPr>
                              <w:t>Land Type</w:t>
                            </w:r>
                          </w:p>
                          <w:p w14:paraId="1B3D0FE1" w14:textId="77777777" w:rsidR="00D4379A" w:rsidRPr="00305035" w:rsidRDefault="00D4379A" w:rsidP="00D4379A"/>
                          <w:p w14:paraId="1096E4D0" w14:textId="77777777" w:rsidR="00D4379A" w:rsidRPr="00305035" w:rsidRDefault="00D4379A" w:rsidP="00D4379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8C5EA" id="_x0000_s1032" type="#_x0000_t202" style="position:absolute;left:0;text-align:left;margin-left:209.4pt;margin-top:213pt;width:253.8pt;height:23.4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" stroked="f">
                <v:textbox inset="0,0,0,0">
                  <w:txbxContent>
                    <w:p w14:paraId="44F8E384" w14:textId="77777777" w:rsidR="00D4379A" w:rsidRPr="00305035" w:rsidRDefault="00D4379A" w:rsidP="00D4379A">
                      <w:pPr>
                        <w:pStyle w:val="Caption"/>
                        <w:jc w:val="center"/>
                        <w:rPr>
                          <w:rFonts w:ascii="Times New Roman" w:hAnsi="Times New Roman" w:cs="Times New Roman"/>
                          <w:b/>
                          <w:bCs/>
                          <w:color w:val="auto"/>
                          <w:sz w:val="24"/>
                          <w:szCs w:val="24"/>
                        </w:rPr>
                      </w:pPr>
                      <w:r w:rsidRPr="00305035">
                        <w:rPr>
                          <w:rFonts w:ascii="Times New Roman" w:hAnsi="Times New Roman" w:cs="Times New Roman"/>
                          <w:b/>
                          <w:bCs/>
                          <w:color w:val="auto"/>
                          <w:sz w:val="24"/>
                          <w:szCs w:val="24"/>
                        </w:rPr>
                        <w:t xml:space="preserve">Figure </w:t>
                      </w:r>
                      <w:r>
                        <w:rPr>
                          <w:rFonts w:ascii="Times New Roman" w:hAnsi="Times New Roman" w:cs="Times New Roman"/>
                          <w:b/>
                          <w:bCs/>
                          <w:color w:val="auto"/>
                          <w:sz w:val="24"/>
                          <w:szCs w:val="24"/>
                        </w:rPr>
                        <w:t>6</w:t>
                      </w:r>
                      <w:r w:rsidRPr="00305035">
                        <w:rPr>
                          <w:rFonts w:ascii="Times New Roman" w:hAnsi="Times New Roman" w:cs="Times New Roman"/>
                          <w:b/>
                          <w:bCs/>
                          <w:color w:val="auto"/>
                          <w:sz w:val="24"/>
                          <w:szCs w:val="24"/>
                        </w:rPr>
                        <w:t xml:space="preserve"> – </w:t>
                      </w:r>
                      <w:r w:rsidRPr="004C10C6">
                        <w:rPr>
                          <w:rFonts w:ascii="Times New Roman" w:hAnsi="Times New Roman" w:cs="Times New Roman"/>
                          <w:b/>
                          <w:bCs/>
                          <w:color w:val="auto"/>
                          <w:sz w:val="24"/>
                          <w:szCs w:val="24"/>
                        </w:rPr>
                        <w:t xml:space="preserve">Percentage Distribution of </w:t>
                      </w:r>
                      <w:r>
                        <w:rPr>
                          <w:rFonts w:ascii="Times New Roman" w:hAnsi="Times New Roman" w:cs="Times New Roman"/>
                          <w:b/>
                          <w:bCs/>
                          <w:color w:val="auto"/>
                          <w:sz w:val="24"/>
                          <w:szCs w:val="24"/>
                        </w:rPr>
                        <w:t>Land Type</w:t>
                      </w:r>
                    </w:p>
                    <w:p w14:paraId="1B3D0FE1" w14:textId="77777777" w:rsidR="00D4379A" w:rsidRPr="00305035" w:rsidRDefault="00D4379A" w:rsidP="00D4379A"/>
                    <w:p w14:paraId="1096E4D0" w14:textId="77777777" w:rsidR="00D4379A" w:rsidRPr="00305035" w:rsidRDefault="00D4379A" w:rsidP="00D4379A"/>
                  </w:txbxContent>
                </v:textbox>
              </v:shape>
            </w:pict>
          </mc:Fallback>
        </mc:AlternateContent>
      </w:r>
      <w:r>
        <w:rPr>
          <w:rFonts w:ascii="Times New Roman" w:hAnsi="Times New Roman" w:cs="Times New Roman"/>
          <w:sz w:val="24"/>
          <w:szCs w:val="24"/>
        </w:rPr>
        <w:drawing>
          <wp:anchor distT="0" distB="0" distL="114300" distR="114300" simplePos="0" relativeHeight="251713536" behindDoc="1" locked="0" layoutInCell="1" allowOverlap="1" wp14:anchorId="53D560C6" wp14:editId="3BEE7834">
            <wp:simplePos x="0" y="0"/>
            <wp:positionH relativeFrom="column">
              <wp:posOffset>2628900</wp:posOffset>
            </wp:positionH>
            <wp:positionV relativeFrom="paragraph">
              <wp:posOffset>885190</wp:posOffset>
            </wp:positionV>
            <wp:extent cx="3284220" cy="1714500"/>
            <wp:effectExtent l="0" t="0" r="11430" b="0"/>
            <wp:wrapNone/>
            <wp:docPr id="216832764"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Pr="00F05334">
        <w:rPr>
          <w:rFonts w:ascii="Times New Roman" w:hAnsi="Times New Roman" w:cs="Times New Roman"/>
          <w:sz w:val="24"/>
          <w:szCs w:val="24"/>
        </w:rPr>
        <w:t>The survey also recorded the types of land owned by the respondents to understand land use patterns. The distribution of land types is presented</w:t>
      </w:r>
    </w:p>
    <w:tbl>
      <w:tblPr>
        <w:tblStyle w:val="TableGrid"/>
        <w:tblpPr w:leftFromText="180" w:rightFromText="180" w:vertAnchor="text" w:tblpY="1"/>
        <w:tblOverlap w:val="never"/>
        <w:tblW w:w="0" w:type="auto"/>
        <w:tblLook w:val="04A0" w:firstRow="1" w:lastRow="0" w:firstColumn="1" w:lastColumn="0" w:noHBand="0" w:noVBand="1"/>
      </w:tblPr>
      <w:tblGrid>
        <w:gridCol w:w="1555"/>
        <w:gridCol w:w="1842"/>
      </w:tblGrid>
      <w:tr w:rsidR="00D4379A" w:rsidRPr="009247B1" w14:paraId="7CC6D226" w14:textId="77777777" w:rsidTr="006E7FCA">
        <w:tc>
          <w:tcPr>
            <w:tcW w:w="1555" w:type="dxa"/>
          </w:tcPr>
          <w:p w14:paraId="67C111B0" w14:textId="77777777" w:rsidR="00D4379A" w:rsidRPr="009247B1" w:rsidRDefault="00D4379A" w:rsidP="006E7FCA">
            <w:pPr>
              <w:jc w:val="center"/>
              <w:rPr>
                <w:rFonts w:ascii="Times New Roman" w:hAnsi="Times New Roman" w:cs="Times New Roman"/>
                <w:b/>
                <w:bCs/>
                <w:noProof w:val="0"/>
                <w:sz w:val="24"/>
                <w:szCs w:val="24"/>
              </w:rPr>
            </w:pPr>
            <w:r w:rsidRPr="009247B1">
              <w:rPr>
                <w:rFonts w:ascii="Times New Roman" w:hAnsi="Times New Roman" w:cs="Times New Roman"/>
                <w:b/>
                <w:bCs/>
                <w:sz w:val="24"/>
                <w:szCs w:val="24"/>
              </w:rPr>
              <w:t>Land Type</w:t>
            </w:r>
          </w:p>
        </w:tc>
        <w:tc>
          <w:tcPr>
            <w:tcW w:w="1842" w:type="dxa"/>
          </w:tcPr>
          <w:p w14:paraId="74D07935" w14:textId="77777777" w:rsidR="00D4379A" w:rsidRPr="009247B1" w:rsidRDefault="00D4379A" w:rsidP="006E7FCA">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No. of. Participants</w:t>
            </w:r>
          </w:p>
        </w:tc>
      </w:tr>
      <w:tr w:rsidR="00D4379A" w:rsidRPr="009247B1" w14:paraId="1AC41CE2" w14:textId="77777777" w:rsidTr="006E7FCA">
        <w:tc>
          <w:tcPr>
            <w:tcW w:w="1555" w:type="dxa"/>
          </w:tcPr>
          <w:p w14:paraId="7278EB38" w14:textId="77777777" w:rsidR="00D4379A" w:rsidRPr="009247B1" w:rsidRDefault="00D4379A" w:rsidP="006E7FCA">
            <w:pPr>
              <w:spacing w:line="480" w:lineRule="auto"/>
              <w:jc w:val="center"/>
              <w:rPr>
                <w:rFonts w:ascii="Times New Roman" w:hAnsi="Times New Roman" w:cs="Times New Roman"/>
                <w:sz w:val="24"/>
                <w:szCs w:val="24"/>
              </w:rPr>
            </w:pPr>
            <w:r w:rsidRPr="009247B1">
              <w:rPr>
                <w:rFonts w:ascii="Times New Roman" w:hAnsi="Times New Roman" w:cs="Times New Roman"/>
                <w:sz w:val="24"/>
                <w:szCs w:val="24"/>
              </w:rPr>
              <w:t>Garden</w:t>
            </w:r>
          </w:p>
        </w:tc>
        <w:tc>
          <w:tcPr>
            <w:tcW w:w="1842" w:type="dxa"/>
          </w:tcPr>
          <w:p w14:paraId="23E4C772" w14:textId="77777777" w:rsidR="00D4379A" w:rsidRPr="009247B1" w:rsidRDefault="00D4379A" w:rsidP="006E7FCA">
            <w:pPr>
              <w:spacing w:line="480" w:lineRule="auto"/>
              <w:jc w:val="center"/>
              <w:rPr>
                <w:rFonts w:ascii="Times New Roman" w:hAnsi="Times New Roman" w:cs="Times New Roman"/>
                <w:sz w:val="24"/>
                <w:szCs w:val="24"/>
              </w:rPr>
            </w:pPr>
            <w:r w:rsidRPr="009247B1">
              <w:rPr>
                <w:rFonts w:ascii="Times New Roman" w:hAnsi="Times New Roman" w:cs="Times New Roman"/>
                <w:sz w:val="24"/>
                <w:szCs w:val="24"/>
              </w:rPr>
              <w:t>34</w:t>
            </w:r>
          </w:p>
        </w:tc>
      </w:tr>
      <w:tr w:rsidR="00D4379A" w:rsidRPr="009247B1" w14:paraId="2C3D5776" w14:textId="77777777" w:rsidTr="006E7FCA">
        <w:tc>
          <w:tcPr>
            <w:tcW w:w="1555" w:type="dxa"/>
          </w:tcPr>
          <w:p w14:paraId="7094D3FA" w14:textId="77777777" w:rsidR="00D4379A" w:rsidRPr="009247B1" w:rsidRDefault="00D4379A" w:rsidP="006E7FCA">
            <w:pPr>
              <w:spacing w:line="480" w:lineRule="auto"/>
              <w:jc w:val="center"/>
              <w:rPr>
                <w:rFonts w:ascii="Times New Roman" w:hAnsi="Times New Roman" w:cs="Times New Roman"/>
                <w:sz w:val="24"/>
                <w:szCs w:val="24"/>
              </w:rPr>
            </w:pPr>
            <w:r w:rsidRPr="009247B1">
              <w:rPr>
                <w:rFonts w:ascii="Times New Roman" w:hAnsi="Times New Roman" w:cs="Times New Roman"/>
                <w:sz w:val="24"/>
                <w:szCs w:val="24"/>
              </w:rPr>
              <w:t>Wet</w:t>
            </w:r>
          </w:p>
        </w:tc>
        <w:tc>
          <w:tcPr>
            <w:tcW w:w="1842" w:type="dxa"/>
          </w:tcPr>
          <w:p w14:paraId="189521C6" w14:textId="77777777" w:rsidR="00D4379A" w:rsidRPr="009247B1" w:rsidRDefault="00D4379A" w:rsidP="006E7FCA">
            <w:pPr>
              <w:spacing w:line="480" w:lineRule="auto"/>
              <w:jc w:val="center"/>
              <w:rPr>
                <w:rFonts w:ascii="Times New Roman" w:hAnsi="Times New Roman" w:cs="Times New Roman"/>
                <w:sz w:val="24"/>
                <w:szCs w:val="24"/>
              </w:rPr>
            </w:pPr>
            <w:r w:rsidRPr="009247B1">
              <w:rPr>
                <w:rFonts w:ascii="Times New Roman" w:hAnsi="Times New Roman" w:cs="Times New Roman"/>
                <w:sz w:val="24"/>
                <w:szCs w:val="24"/>
              </w:rPr>
              <w:t>2</w:t>
            </w:r>
            <w:r>
              <w:rPr>
                <w:rFonts w:ascii="Times New Roman" w:hAnsi="Times New Roman" w:cs="Times New Roman"/>
                <w:sz w:val="24"/>
                <w:szCs w:val="24"/>
              </w:rPr>
              <w:t>6</w:t>
            </w:r>
          </w:p>
        </w:tc>
      </w:tr>
      <w:tr w:rsidR="00D4379A" w:rsidRPr="009247B1" w14:paraId="539C9C3F" w14:textId="77777777" w:rsidTr="006E7FCA">
        <w:tc>
          <w:tcPr>
            <w:tcW w:w="1555" w:type="dxa"/>
          </w:tcPr>
          <w:p w14:paraId="48511BFD" w14:textId="77777777" w:rsidR="00D4379A" w:rsidRPr="009247B1" w:rsidRDefault="00D4379A" w:rsidP="006E7FCA">
            <w:pPr>
              <w:spacing w:line="480" w:lineRule="auto"/>
              <w:jc w:val="center"/>
              <w:rPr>
                <w:rFonts w:ascii="Times New Roman" w:hAnsi="Times New Roman" w:cs="Times New Roman"/>
                <w:b/>
                <w:bCs/>
                <w:sz w:val="24"/>
                <w:szCs w:val="24"/>
              </w:rPr>
            </w:pPr>
            <w:r w:rsidRPr="009247B1">
              <w:rPr>
                <w:rFonts w:ascii="Times New Roman" w:hAnsi="Times New Roman" w:cs="Times New Roman"/>
                <w:b/>
                <w:bCs/>
                <w:sz w:val="24"/>
                <w:szCs w:val="24"/>
              </w:rPr>
              <w:t>Total</w:t>
            </w:r>
          </w:p>
        </w:tc>
        <w:tc>
          <w:tcPr>
            <w:tcW w:w="1842" w:type="dxa"/>
          </w:tcPr>
          <w:p w14:paraId="6AAB95BE" w14:textId="77777777" w:rsidR="00D4379A" w:rsidRPr="009247B1" w:rsidRDefault="00D4379A" w:rsidP="006E7FCA">
            <w:pPr>
              <w:spacing w:line="480" w:lineRule="auto"/>
              <w:jc w:val="center"/>
              <w:rPr>
                <w:rFonts w:ascii="Times New Roman" w:hAnsi="Times New Roman" w:cs="Times New Roman"/>
                <w:b/>
                <w:bCs/>
                <w:sz w:val="24"/>
                <w:szCs w:val="24"/>
              </w:rPr>
            </w:pPr>
            <w:r w:rsidRPr="009247B1">
              <w:rPr>
                <w:rFonts w:ascii="Times New Roman" w:hAnsi="Times New Roman" w:cs="Times New Roman"/>
                <w:b/>
                <w:bCs/>
                <w:sz w:val="24"/>
                <w:szCs w:val="24"/>
              </w:rPr>
              <w:t>60</w:t>
            </w:r>
          </w:p>
        </w:tc>
      </w:tr>
    </w:tbl>
    <w:p w14:paraId="3A231140" w14:textId="77777777" w:rsidR="00D4379A" w:rsidRDefault="00D4379A" w:rsidP="00D4379A">
      <w:pPr>
        <w:spacing w:line="480" w:lineRule="auto"/>
        <w:jc w:val="both"/>
        <w:rPr>
          <w:rFonts w:ascii="Times New Roman" w:hAnsi="Times New Roman" w:cs="Times New Roman"/>
          <w:sz w:val="24"/>
          <w:szCs w:val="24"/>
        </w:rPr>
      </w:pPr>
    </w:p>
    <w:p w14:paraId="6E59A175" w14:textId="77777777" w:rsidR="00D4379A" w:rsidRDefault="00D4379A" w:rsidP="00D4379A">
      <w:pPr>
        <w:spacing w:line="480" w:lineRule="auto"/>
        <w:jc w:val="both"/>
        <w:rPr>
          <w:rFonts w:ascii="Times New Roman" w:hAnsi="Times New Roman" w:cs="Times New Roman"/>
          <w:b/>
          <w:bCs/>
          <w:sz w:val="24"/>
          <w:szCs w:val="24"/>
        </w:rPr>
      </w:pPr>
    </w:p>
    <w:p w14:paraId="7F940434" w14:textId="77777777" w:rsidR="00D4379A" w:rsidRDefault="00D4379A" w:rsidP="00D4379A">
      <w:pPr>
        <w:spacing w:line="480" w:lineRule="auto"/>
        <w:jc w:val="both"/>
        <w:rPr>
          <w:rFonts w:ascii="Times New Roman" w:hAnsi="Times New Roman" w:cs="Times New Roman"/>
          <w:b/>
          <w:bCs/>
          <w:sz w:val="24"/>
          <w:szCs w:val="24"/>
        </w:rPr>
      </w:pPr>
    </w:p>
    <w:p w14:paraId="6C724516" w14:textId="77777777" w:rsidR="00D4379A" w:rsidRDefault="00D4379A" w:rsidP="00D4379A">
      <w:pPr>
        <w:spacing w:line="480" w:lineRule="auto"/>
        <w:jc w:val="both"/>
        <w:rPr>
          <w:rFonts w:ascii="Times New Roman" w:hAnsi="Times New Roman" w:cs="Times New Roman"/>
          <w:b/>
          <w:bCs/>
          <w:sz w:val="24"/>
          <w:szCs w:val="24"/>
        </w:rPr>
      </w:pPr>
    </w:p>
    <w:p w14:paraId="76D1431E" w14:textId="77777777" w:rsidR="00D4379A" w:rsidRDefault="00D4379A" w:rsidP="00D4379A">
      <w:pPr>
        <w:spacing w:line="480" w:lineRule="auto"/>
        <w:jc w:val="both"/>
        <w:rPr>
          <w:rFonts w:ascii="Times New Roman" w:hAnsi="Times New Roman" w:cs="Times New Roman"/>
          <w:sz w:val="24"/>
          <w:szCs w:val="24"/>
        </w:rPr>
      </w:pPr>
      <w:r w:rsidRPr="005007FA">
        <w:rPr>
          <w:rFonts w:ascii="Times New Roman" w:hAnsi="Times New Roman" w:cs="Times New Roman"/>
          <w:b/>
          <w:bCs/>
          <w:sz w:val="24"/>
          <w:szCs w:val="24"/>
        </w:rPr>
        <w:lastRenderedPageBreak/>
        <w:t>Discussion:</w:t>
      </w:r>
      <w:r w:rsidRPr="005007FA">
        <w:rPr>
          <w:rFonts w:ascii="Times New Roman" w:hAnsi="Times New Roman" w:cs="Times New Roman"/>
          <w:sz w:val="24"/>
          <w:szCs w:val="24"/>
        </w:rPr>
        <w:br/>
        <w:t>The data indicate that respondents cultivate either garden or wet land, with garden land being slightly more prevalent. This distribution reflects the focus of agricultural practices on more productive land types, which may influence crop choices and yield potential.</w:t>
      </w:r>
    </w:p>
    <w:p w14:paraId="5F093A18" w14:textId="1B4A2F82" w:rsidR="00195781" w:rsidRPr="00195781" w:rsidRDefault="004B3BCC" w:rsidP="00195781">
      <w:pPr>
        <w:spacing w:line="480" w:lineRule="auto"/>
        <w:jc w:val="both"/>
        <w:rPr>
          <w:rFonts w:ascii="Times New Roman" w:hAnsi="Times New Roman" w:cs="Times New Roman"/>
          <w:sz w:val="24"/>
          <w:szCs w:val="24"/>
        </w:rPr>
      </w:pPr>
      <w:r>
        <w:rPr>
          <w:rFonts w:ascii="Times New Roman" w:hAnsi="Times New Roman" w:cs="Times New Roman"/>
          <w:b/>
          <w:bCs/>
          <w:sz w:val="24"/>
          <w:szCs w:val="24"/>
        </w:rPr>
        <w:t xml:space="preserve">4.7. </w:t>
      </w:r>
      <w:r w:rsidR="00195781" w:rsidRPr="00195781">
        <w:rPr>
          <w:rFonts w:ascii="Times New Roman" w:hAnsi="Times New Roman" w:cs="Times New Roman"/>
          <w:b/>
          <w:bCs/>
          <w:sz w:val="24"/>
          <w:szCs w:val="24"/>
        </w:rPr>
        <w:t>Land Area of Respondents</w:t>
      </w:r>
    </w:p>
    <w:p w14:paraId="00069E7D" w14:textId="4A4DA184" w:rsidR="00195781" w:rsidRPr="00195781" w:rsidRDefault="0040169D" w:rsidP="00195781">
      <w:pPr>
        <w:spacing w:line="480" w:lineRule="auto"/>
        <w:jc w:val="both"/>
        <w:rPr>
          <w:rFonts w:ascii="Times New Roman" w:hAnsi="Times New Roman" w:cs="Times New Roman"/>
          <w:sz w:val="24"/>
          <w:szCs w:val="24"/>
        </w:rPr>
      </w:pPr>
      <w:r>
        <w:rPr>
          <w:rFonts w:ascii="Times New Roman" w:hAnsi="Times New Roman" w:cs="Times New Roman"/>
          <w:sz w:val="24"/>
          <w:szCs w:val="24"/>
        </w:rPr>
        <w:drawing>
          <wp:anchor distT="0" distB="0" distL="114300" distR="114300" simplePos="0" relativeHeight="251678720" behindDoc="1" locked="0" layoutInCell="1" allowOverlap="1" wp14:anchorId="3FE4B32E" wp14:editId="2232C0E0">
            <wp:simplePos x="0" y="0"/>
            <wp:positionH relativeFrom="column">
              <wp:posOffset>2598420</wp:posOffset>
            </wp:positionH>
            <wp:positionV relativeFrom="paragraph">
              <wp:posOffset>726440</wp:posOffset>
            </wp:positionV>
            <wp:extent cx="3535680" cy="2194560"/>
            <wp:effectExtent l="0" t="0" r="7620" b="15240"/>
            <wp:wrapNone/>
            <wp:docPr id="506214955"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195781" w:rsidRPr="00195781">
        <w:rPr>
          <w:rFonts w:ascii="Times New Roman" w:hAnsi="Times New Roman" w:cs="Times New Roman"/>
          <w:sz w:val="24"/>
          <w:szCs w:val="24"/>
        </w:rPr>
        <w:t xml:space="preserve">The surveyed respondents were </w:t>
      </w:r>
      <w:r w:rsidR="0028753C">
        <w:rPr>
          <w:rFonts w:ascii="Times New Roman" w:hAnsi="Times New Roman" w:cs="Times New Roman"/>
          <w:sz w:val="24"/>
          <w:szCs w:val="24"/>
        </w:rPr>
        <w:t>categorised</w:t>
      </w:r>
      <w:r w:rsidR="00195781" w:rsidRPr="00195781">
        <w:rPr>
          <w:rFonts w:ascii="Times New Roman" w:hAnsi="Times New Roman" w:cs="Times New Roman"/>
          <w:sz w:val="24"/>
          <w:szCs w:val="24"/>
        </w:rPr>
        <w:t xml:space="preserve"> based on their landholding size into marginal, small, and large farmers. The distribution of respondents according to land area is presented</w:t>
      </w:r>
    </w:p>
    <w:tbl>
      <w:tblPr>
        <w:tblStyle w:val="TableGrid"/>
        <w:tblW w:w="0" w:type="auto"/>
        <w:tblLook w:val="04A0" w:firstRow="1" w:lastRow="0" w:firstColumn="1" w:lastColumn="0" w:noHBand="0" w:noVBand="1"/>
      </w:tblPr>
      <w:tblGrid>
        <w:gridCol w:w="1555"/>
        <w:gridCol w:w="2126"/>
      </w:tblGrid>
      <w:tr w:rsidR="00760287" w14:paraId="35889484" w14:textId="77777777" w:rsidTr="0028753C">
        <w:tc>
          <w:tcPr>
            <w:tcW w:w="1555" w:type="dxa"/>
          </w:tcPr>
          <w:p w14:paraId="5E9179F2" w14:textId="09728CBB" w:rsidR="00760287" w:rsidRPr="0028753C" w:rsidRDefault="00692E11" w:rsidP="0028753C">
            <w:pPr>
              <w:jc w:val="center"/>
              <w:rPr>
                <w:rFonts w:ascii="Times New Roman" w:hAnsi="Times New Roman" w:cs="Times New Roman"/>
                <w:b/>
                <w:bCs/>
                <w:noProof w:val="0"/>
                <w:sz w:val="24"/>
                <w:szCs w:val="24"/>
              </w:rPr>
            </w:pPr>
            <w:r w:rsidRPr="0028753C">
              <w:rPr>
                <w:rFonts w:ascii="Times New Roman" w:hAnsi="Times New Roman" w:cs="Times New Roman"/>
                <w:b/>
                <w:bCs/>
                <w:sz w:val="24"/>
                <w:szCs w:val="24"/>
              </w:rPr>
              <w:t>Land Area</w:t>
            </w:r>
          </w:p>
        </w:tc>
        <w:tc>
          <w:tcPr>
            <w:tcW w:w="2126" w:type="dxa"/>
          </w:tcPr>
          <w:p w14:paraId="0E001DEC" w14:textId="59167D73" w:rsidR="00760287" w:rsidRPr="0028753C" w:rsidRDefault="00692E11" w:rsidP="0028753C">
            <w:pPr>
              <w:spacing w:line="480" w:lineRule="auto"/>
              <w:jc w:val="center"/>
              <w:rPr>
                <w:rFonts w:ascii="Times New Roman" w:hAnsi="Times New Roman" w:cs="Times New Roman"/>
                <w:b/>
                <w:bCs/>
                <w:sz w:val="24"/>
                <w:szCs w:val="24"/>
              </w:rPr>
            </w:pPr>
            <w:r w:rsidRPr="0028753C">
              <w:rPr>
                <w:rFonts w:ascii="Times New Roman" w:hAnsi="Times New Roman" w:cs="Times New Roman"/>
                <w:b/>
                <w:bCs/>
                <w:sz w:val="24"/>
                <w:szCs w:val="24"/>
              </w:rPr>
              <w:t>Total</w:t>
            </w:r>
            <w:r w:rsidR="0028753C">
              <w:rPr>
                <w:rFonts w:ascii="Times New Roman" w:hAnsi="Times New Roman" w:cs="Times New Roman"/>
                <w:b/>
                <w:bCs/>
                <w:sz w:val="24"/>
                <w:szCs w:val="24"/>
              </w:rPr>
              <w:t>. No. of. Respondents</w:t>
            </w:r>
          </w:p>
        </w:tc>
      </w:tr>
      <w:tr w:rsidR="00760287" w14:paraId="422C9F3F" w14:textId="77777777" w:rsidTr="0028753C">
        <w:tc>
          <w:tcPr>
            <w:tcW w:w="1555" w:type="dxa"/>
          </w:tcPr>
          <w:p w14:paraId="53B6651E" w14:textId="08382112" w:rsidR="00760287" w:rsidRPr="0028753C" w:rsidRDefault="00EF7C03" w:rsidP="0028753C">
            <w:pPr>
              <w:spacing w:line="480" w:lineRule="auto"/>
              <w:jc w:val="center"/>
              <w:rPr>
                <w:rFonts w:ascii="Times New Roman" w:hAnsi="Times New Roman" w:cs="Times New Roman"/>
                <w:sz w:val="24"/>
                <w:szCs w:val="24"/>
              </w:rPr>
            </w:pPr>
            <w:r w:rsidRPr="0028753C">
              <w:rPr>
                <w:rFonts w:ascii="Times New Roman" w:hAnsi="Times New Roman" w:cs="Times New Roman"/>
                <w:sz w:val="24"/>
                <w:szCs w:val="24"/>
              </w:rPr>
              <w:t>&lt; 2.5 acres</w:t>
            </w:r>
          </w:p>
        </w:tc>
        <w:tc>
          <w:tcPr>
            <w:tcW w:w="2126" w:type="dxa"/>
          </w:tcPr>
          <w:p w14:paraId="17520F96" w14:textId="660C73A9" w:rsidR="00760287" w:rsidRPr="0028753C" w:rsidRDefault="00EF7C03" w:rsidP="0028753C">
            <w:pPr>
              <w:spacing w:line="480" w:lineRule="auto"/>
              <w:jc w:val="center"/>
              <w:rPr>
                <w:rFonts w:ascii="Times New Roman" w:hAnsi="Times New Roman" w:cs="Times New Roman"/>
                <w:sz w:val="24"/>
                <w:szCs w:val="24"/>
              </w:rPr>
            </w:pPr>
            <w:r w:rsidRPr="0028753C">
              <w:rPr>
                <w:rFonts w:ascii="Times New Roman" w:hAnsi="Times New Roman" w:cs="Times New Roman"/>
                <w:sz w:val="24"/>
                <w:szCs w:val="24"/>
              </w:rPr>
              <w:t>40</w:t>
            </w:r>
          </w:p>
        </w:tc>
      </w:tr>
      <w:tr w:rsidR="00760287" w14:paraId="7F5AEBC7" w14:textId="77777777" w:rsidTr="0028753C">
        <w:tc>
          <w:tcPr>
            <w:tcW w:w="1555" w:type="dxa"/>
          </w:tcPr>
          <w:p w14:paraId="44E5FEBD" w14:textId="10A9E561" w:rsidR="00760287" w:rsidRPr="0028753C" w:rsidRDefault="00EF7C03" w:rsidP="0028753C">
            <w:pPr>
              <w:spacing w:line="480" w:lineRule="auto"/>
              <w:jc w:val="center"/>
              <w:rPr>
                <w:rFonts w:ascii="Times New Roman" w:hAnsi="Times New Roman" w:cs="Times New Roman"/>
                <w:sz w:val="24"/>
                <w:szCs w:val="24"/>
              </w:rPr>
            </w:pPr>
            <w:r w:rsidRPr="0028753C">
              <w:rPr>
                <w:rFonts w:ascii="Times New Roman" w:hAnsi="Times New Roman" w:cs="Times New Roman"/>
                <w:sz w:val="24"/>
                <w:szCs w:val="24"/>
              </w:rPr>
              <w:t>2.5–5 acres</w:t>
            </w:r>
          </w:p>
        </w:tc>
        <w:tc>
          <w:tcPr>
            <w:tcW w:w="2126" w:type="dxa"/>
          </w:tcPr>
          <w:p w14:paraId="466A841B" w14:textId="47750746" w:rsidR="00760287" w:rsidRPr="0028753C" w:rsidRDefault="00EF7C03" w:rsidP="0028753C">
            <w:pPr>
              <w:spacing w:line="480" w:lineRule="auto"/>
              <w:jc w:val="center"/>
              <w:rPr>
                <w:rFonts w:ascii="Times New Roman" w:hAnsi="Times New Roman" w:cs="Times New Roman"/>
                <w:sz w:val="24"/>
                <w:szCs w:val="24"/>
              </w:rPr>
            </w:pPr>
            <w:r w:rsidRPr="0028753C">
              <w:rPr>
                <w:rFonts w:ascii="Times New Roman" w:hAnsi="Times New Roman" w:cs="Times New Roman"/>
                <w:sz w:val="24"/>
                <w:szCs w:val="24"/>
              </w:rPr>
              <w:t>1</w:t>
            </w:r>
            <w:r w:rsidR="0028753C" w:rsidRPr="0028753C">
              <w:rPr>
                <w:rFonts w:ascii="Times New Roman" w:hAnsi="Times New Roman" w:cs="Times New Roman"/>
                <w:sz w:val="24"/>
                <w:szCs w:val="24"/>
              </w:rPr>
              <w:t>3</w:t>
            </w:r>
          </w:p>
        </w:tc>
      </w:tr>
      <w:tr w:rsidR="00760287" w14:paraId="16F2FCEA" w14:textId="77777777" w:rsidTr="0028753C">
        <w:tc>
          <w:tcPr>
            <w:tcW w:w="1555" w:type="dxa"/>
          </w:tcPr>
          <w:p w14:paraId="5E1427AE" w14:textId="70663103" w:rsidR="00760287" w:rsidRPr="0028753C" w:rsidRDefault="00EF7C03" w:rsidP="0028753C">
            <w:pPr>
              <w:spacing w:line="480" w:lineRule="auto"/>
              <w:jc w:val="center"/>
              <w:rPr>
                <w:rFonts w:ascii="Times New Roman" w:hAnsi="Times New Roman" w:cs="Times New Roman"/>
                <w:sz w:val="24"/>
                <w:szCs w:val="24"/>
              </w:rPr>
            </w:pPr>
            <w:r w:rsidRPr="0028753C">
              <w:rPr>
                <w:rFonts w:ascii="Times New Roman" w:hAnsi="Times New Roman" w:cs="Times New Roman"/>
                <w:sz w:val="24"/>
                <w:szCs w:val="24"/>
              </w:rPr>
              <w:t>&gt; 5 acres</w:t>
            </w:r>
          </w:p>
        </w:tc>
        <w:tc>
          <w:tcPr>
            <w:tcW w:w="2126" w:type="dxa"/>
          </w:tcPr>
          <w:p w14:paraId="464317C0" w14:textId="6FA4D7C7" w:rsidR="00760287" w:rsidRPr="0028753C" w:rsidRDefault="0028753C" w:rsidP="0028753C">
            <w:pPr>
              <w:spacing w:line="480" w:lineRule="auto"/>
              <w:jc w:val="center"/>
              <w:rPr>
                <w:rFonts w:ascii="Times New Roman" w:hAnsi="Times New Roman" w:cs="Times New Roman"/>
                <w:sz w:val="24"/>
                <w:szCs w:val="24"/>
              </w:rPr>
            </w:pPr>
            <w:r w:rsidRPr="0028753C">
              <w:rPr>
                <w:rFonts w:ascii="Times New Roman" w:hAnsi="Times New Roman" w:cs="Times New Roman"/>
                <w:sz w:val="24"/>
                <w:szCs w:val="24"/>
              </w:rPr>
              <w:t>7</w:t>
            </w:r>
          </w:p>
        </w:tc>
      </w:tr>
      <w:tr w:rsidR="00760287" w14:paraId="2164CED7" w14:textId="77777777" w:rsidTr="0028753C">
        <w:tc>
          <w:tcPr>
            <w:tcW w:w="1555" w:type="dxa"/>
          </w:tcPr>
          <w:p w14:paraId="02DD6086" w14:textId="2E414939" w:rsidR="00760287" w:rsidRPr="0028753C" w:rsidRDefault="00EF7C03" w:rsidP="0028753C">
            <w:pPr>
              <w:spacing w:line="480" w:lineRule="auto"/>
              <w:jc w:val="center"/>
              <w:rPr>
                <w:rFonts w:ascii="Times New Roman" w:hAnsi="Times New Roman" w:cs="Times New Roman"/>
                <w:b/>
                <w:bCs/>
                <w:sz w:val="24"/>
                <w:szCs w:val="24"/>
              </w:rPr>
            </w:pPr>
            <w:r w:rsidRPr="0028753C">
              <w:rPr>
                <w:rFonts w:ascii="Times New Roman" w:hAnsi="Times New Roman" w:cs="Times New Roman"/>
                <w:b/>
                <w:bCs/>
                <w:sz w:val="24"/>
                <w:szCs w:val="24"/>
              </w:rPr>
              <w:t>Total</w:t>
            </w:r>
          </w:p>
        </w:tc>
        <w:tc>
          <w:tcPr>
            <w:tcW w:w="2126" w:type="dxa"/>
          </w:tcPr>
          <w:p w14:paraId="01CC9B0C" w14:textId="15503D82" w:rsidR="00760287" w:rsidRPr="0028753C" w:rsidRDefault="0028753C" w:rsidP="0028753C">
            <w:pPr>
              <w:spacing w:line="480" w:lineRule="auto"/>
              <w:jc w:val="center"/>
              <w:rPr>
                <w:rFonts w:ascii="Times New Roman" w:hAnsi="Times New Roman" w:cs="Times New Roman"/>
                <w:b/>
                <w:bCs/>
                <w:sz w:val="24"/>
                <w:szCs w:val="24"/>
              </w:rPr>
            </w:pPr>
            <w:r w:rsidRPr="0028753C">
              <w:rPr>
                <w:rFonts w:ascii="Times New Roman" w:hAnsi="Times New Roman" w:cs="Times New Roman"/>
                <w:b/>
                <w:bCs/>
                <w:sz w:val="24"/>
                <w:szCs w:val="24"/>
              </w:rPr>
              <w:t>60</w:t>
            </w:r>
          </w:p>
        </w:tc>
      </w:tr>
    </w:tbl>
    <w:p w14:paraId="051C7BF7" w14:textId="652C92E8" w:rsidR="006D365C" w:rsidRPr="00305035" w:rsidRDefault="006D365C" w:rsidP="00E0522F">
      <w:pPr>
        <w:pStyle w:val="Caption"/>
        <w:framePr w:w="4405" w:h="409" w:hRule="exact" w:hSpace="180" w:wrap="around" w:vAnchor="text" w:hAnchor="page" w:x="1153" w:y="170"/>
        <w:jc w:val="center"/>
        <w:rPr>
          <w:rFonts w:ascii="Times New Roman" w:hAnsi="Times New Roman" w:cs="Times New Roman"/>
          <w:sz w:val="24"/>
          <w:szCs w:val="24"/>
        </w:rPr>
      </w:pPr>
      <w:r w:rsidRPr="00305035">
        <w:rPr>
          <w:rFonts w:ascii="Times New Roman" w:hAnsi="Times New Roman" w:cs="Times New Roman"/>
          <w:b/>
          <w:bCs/>
          <w:color w:val="auto"/>
          <w:sz w:val="24"/>
          <w:szCs w:val="24"/>
        </w:rPr>
        <w:t xml:space="preserve">Table </w:t>
      </w:r>
      <w:r w:rsidR="006825FC">
        <w:rPr>
          <w:rFonts w:ascii="Times New Roman" w:hAnsi="Times New Roman" w:cs="Times New Roman"/>
          <w:b/>
          <w:bCs/>
          <w:color w:val="auto"/>
          <w:sz w:val="24"/>
          <w:szCs w:val="24"/>
        </w:rPr>
        <w:t>7</w:t>
      </w:r>
      <w:r w:rsidRPr="00305035">
        <w:rPr>
          <w:rFonts w:ascii="Times New Roman" w:hAnsi="Times New Roman" w:cs="Times New Roman"/>
          <w:b/>
          <w:bCs/>
          <w:color w:val="auto"/>
          <w:sz w:val="24"/>
          <w:szCs w:val="24"/>
        </w:rPr>
        <w:t>–</w:t>
      </w:r>
      <w:r>
        <w:rPr>
          <w:rFonts w:ascii="Times New Roman" w:hAnsi="Times New Roman" w:cs="Times New Roman"/>
          <w:b/>
          <w:bCs/>
          <w:color w:val="auto"/>
          <w:sz w:val="24"/>
          <w:szCs w:val="24"/>
        </w:rPr>
        <w:t xml:space="preserve">   </w:t>
      </w:r>
      <w:r w:rsidRPr="006D365C">
        <w:rPr>
          <w:rFonts w:ascii="Times New Roman" w:hAnsi="Times New Roman" w:cs="Times New Roman"/>
          <w:b/>
          <w:bCs/>
          <w:color w:val="auto"/>
          <w:sz w:val="24"/>
          <w:szCs w:val="24"/>
        </w:rPr>
        <w:t>Land Area of Respondents</w:t>
      </w:r>
      <w:r w:rsidRPr="00305035">
        <w:rPr>
          <w:rFonts w:ascii="Times New Roman" w:hAnsi="Times New Roman" w:cs="Times New Roman"/>
          <w:sz w:val="24"/>
          <w:szCs w:val="24"/>
        </w:rPr>
        <w:br w:type="textWrapping" w:clear="all"/>
      </w:r>
    </w:p>
    <w:p w14:paraId="1536D3B3" w14:textId="77777777" w:rsidR="00D4379A" w:rsidRDefault="00D17E52" w:rsidP="00DA7310">
      <w:pPr>
        <w:spacing w:line="480" w:lineRule="auto"/>
        <w:jc w:val="both"/>
        <w:rPr>
          <w:rFonts w:ascii="Times New Roman" w:hAnsi="Times New Roman" w:cs="Times New Roman"/>
          <w:b/>
          <w:bCs/>
          <w:sz w:val="24"/>
          <w:szCs w:val="24"/>
        </w:rPr>
      </w:pPr>
      <w:r w:rsidRPr="00305035">
        <mc:AlternateContent>
          <mc:Choice Requires="wps">
            <w:drawing>
              <wp:anchor distT="0" distB="0" distL="114300" distR="114300" simplePos="0" relativeHeight="251680768" behindDoc="1" locked="0" layoutInCell="1" allowOverlap="1" wp14:anchorId="7DBACDEE" wp14:editId="1972C917">
                <wp:simplePos x="0" y="0"/>
                <wp:positionH relativeFrom="column">
                  <wp:posOffset>2720340</wp:posOffset>
                </wp:positionH>
                <wp:positionV relativeFrom="paragraph">
                  <wp:posOffset>8255</wp:posOffset>
                </wp:positionV>
                <wp:extent cx="3223260" cy="441960"/>
                <wp:effectExtent l="0" t="0" r="0" b="0"/>
                <wp:wrapNone/>
                <wp:docPr id="1803165768" name="Text Box 1"/>
                <wp:cNvGraphicFramePr/>
                <a:graphic xmlns:a="http://schemas.openxmlformats.org/drawingml/2006/main">
                  <a:graphicData uri="http://schemas.microsoft.com/office/word/2010/wordprocessingShape">
                    <wps:wsp>
                      <wps:cNvSpPr txBox="1"/>
                      <wps:spPr>
                        <a:xfrm>
                          <a:off x="0" y="0"/>
                          <a:ext cx="3223260" cy="441960"/>
                        </a:xfrm>
                        <a:prstGeom prst="rect">
                          <a:avLst/>
                        </a:prstGeom>
                        <a:solidFill>
                          <a:prstClr val="white"/>
                        </a:solidFill>
                        <a:ln>
                          <a:noFill/>
                        </a:ln>
                      </wps:spPr>
                      <wps:txbx>
                        <w:txbxContent>
                          <w:p w14:paraId="5918E569" w14:textId="6A22172A" w:rsidR="006825FC" w:rsidRPr="00305035" w:rsidRDefault="006825FC" w:rsidP="006825FC">
                            <w:pPr>
                              <w:pStyle w:val="Caption"/>
                              <w:jc w:val="center"/>
                              <w:rPr>
                                <w:rFonts w:ascii="Times New Roman" w:hAnsi="Times New Roman" w:cs="Times New Roman"/>
                                <w:b/>
                                <w:bCs/>
                                <w:color w:val="auto"/>
                                <w:sz w:val="24"/>
                                <w:szCs w:val="24"/>
                              </w:rPr>
                            </w:pPr>
                            <w:r w:rsidRPr="00305035">
                              <w:rPr>
                                <w:rFonts w:ascii="Times New Roman" w:hAnsi="Times New Roman" w:cs="Times New Roman"/>
                                <w:b/>
                                <w:bCs/>
                                <w:color w:val="auto"/>
                                <w:sz w:val="24"/>
                                <w:szCs w:val="24"/>
                              </w:rPr>
                              <w:t xml:space="preserve">Figure </w:t>
                            </w:r>
                            <w:r>
                              <w:rPr>
                                <w:rFonts w:ascii="Times New Roman" w:hAnsi="Times New Roman" w:cs="Times New Roman"/>
                                <w:b/>
                                <w:bCs/>
                                <w:color w:val="auto"/>
                                <w:sz w:val="24"/>
                                <w:szCs w:val="24"/>
                              </w:rPr>
                              <w:t>7</w:t>
                            </w:r>
                            <w:r w:rsidRPr="00305035">
                              <w:rPr>
                                <w:rFonts w:ascii="Times New Roman" w:hAnsi="Times New Roman" w:cs="Times New Roman"/>
                                <w:b/>
                                <w:bCs/>
                                <w:color w:val="auto"/>
                                <w:sz w:val="24"/>
                                <w:szCs w:val="24"/>
                              </w:rPr>
                              <w:t xml:space="preserve"> – </w:t>
                            </w:r>
                            <w:r w:rsidRPr="004C10C6">
                              <w:rPr>
                                <w:rFonts w:ascii="Times New Roman" w:hAnsi="Times New Roman" w:cs="Times New Roman"/>
                                <w:b/>
                                <w:bCs/>
                                <w:color w:val="auto"/>
                                <w:sz w:val="24"/>
                                <w:szCs w:val="24"/>
                              </w:rPr>
                              <w:t>Percentage Distribution of</w:t>
                            </w:r>
                            <w:r w:rsidR="00D17E52">
                              <w:rPr>
                                <w:rFonts w:ascii="Times New Roman" w:hAnsi="Times New Roman" w:cs="Times New Roman"/>
                                <w:b/>
                                <w:bCs/>
                                <w:color w:val="auto"/>
                                <w:sz w:val="24"/>
                                <w:szCs w:val="24"/>
                              </w:rPr>
                              <w:t xml:space="preserve"> Respondents' </w:t>
                            </w:r>
                            <w:r>
                              <w:rPr>
                                <w:rFonts w:ascii="Times New Roman" w:hAnsi="Times New Roman" w:cs="Times New Roman"/>
                                <w:b/>
                                <w:bCs/>
                                <w:color w:val="auto"/>
                                <w:sz w:val="24"/>
                                <w:szCs w:val="24"/>
                              </w:rPr>
                              <w:t xml:space="preserve">Land </w:t>
                            </w:r>
                            <w:r w:rsidR="00D17E52">
                              <w:rPr>
                                <w:rFonts w:ascii="Times New Roman" w:hAnsi="Times New Roman" w:cs="Times New Roman"/>
                                <w:b/>
                                <w:bCs/>
                                <w:color w:val="auto"/>
                                <w:sz w:val="24"/>
                                <w:szCs w:val="24"/>
                              </w:rPr>
                              <w:t>Area</w:t>
                            </w:r>
                          </w:p>
                          <w:p w14:paraId="2B25CCAE" w14:textId="77777777" w:rsidR="006825FC" w:rsidRPr="00305035" w:rsidRDefault="006825FC" w:rsidP="006825FC"/>
                          <w:p w14:paraId="6429F963" w14:textId="77777777" w:rsidR="006825FC" w:rsidRPr="00305035" w:rsidRDefault="006825FC" w:rsidP="006825F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ACDEE" id="_x0000_s1033" type="#_x0000_t202" style="position:absolute;left:0;text-align:left;margin-left:214.2pt;margin-top:.65pt;width:253.8pt;height:34.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" stroked="f">
                <v:textbox inset="0,0,0,0">
                  <w:txbxContent>
                    <w:p w14:paraId="5918E569" w14:textId="6A22172A" w:rsidR="006825FC" w:rsidRPr="00305035" w:rsidRDefault="006825FC" w:rsidP="006825FC">
                      <w:pPr>
                        <w:pStyle w:val="Caption"/>
                        <w:jc w:val="center"/>
                        <w:rPr>
                          <w:rFonts w:ascii="Times New Roman" w:hAnsi="Times New Roman" w:cs="Times New Roman"/>
                          <w:b/>
                          <w:bCs/>
                          <w:color w:val="auto"/>
                          <w:sz w:val="24"/>
                          <w:szCs w:val="24"/>
                        </w:rPr>
                      </w:pPr>
                      <w:r w:rsidRPr="00305035">
                        <w:rPr>
                          <w:rFonts w:ascii="Times New Roman" w:hAnsi="Times New Roman" w:cs="Times New Roman"/>
                          <w:b/>
                          <w:bCs/>
                          <w:color w:val="auto"/>
                          <w:sz w:val="24"/>
                          <w:szCs w:val="24"/>
                        </w:rPr>
                        <w:t xml:space="preserve">Figure </w:t>
                      </w:r>
                      <w:r>
                        <w:rPr>
                          <w:rFonts w:ascii="Times New Roman" w:hAnsi="Times New Roman" w:cs="Times New Roman"/>
                          <w:b/>
                          <w:bCs/>
                          <w:color w:val="auto"/>
                          <w:sz w:val="24"/>
                          <w:szCs w:val="24"/>
                        </w:rPr>
                        <w:t>7</w:t>
                      </w:r>
                      <w:r w:rsidRPr="00305035">
                        <w:rPr>
                          <w:rFonts w:ascii="Times New Roman" w:hAnsi="Times New Roman" w:cs="Times New Roman"/>
                          <w:b/>
                          <w:bCs/>
                          <w:color w:val="auto"/>
                          <w:sz w:val="24"/>
                          <w:szCs w:val="24"/>
                        </w:rPr>
                        <w:t xml:space="preserve"> – </w:t>
                      </w:r>
                      <w:r w:rsidRPr="004C10C6">
                        <w:rPr>
                          <w:rFonts w:ascii="Times New Roman" w:hAnsi="Times New Roman" w:cs="Times New Roman"/>
                          <w:b/>
                          <w:bCs/>
                          <w:color w:val="auto"/>
                          <w:sz w:val="24"/>
                          <w:szCs w:val="24"/>
                        </w:rPr>
                        <w:t>Percentage Distribution of</w:t>
                      </w:r>
                      <w:r w:rsidR="00D17E52">
                        <w:rPr>
                          <w:rFonts w:ascii="Times New Roman" w:hAnsi="Times New Roman" w:cs="Times New Roman"/>
                          <w:b/>
                          <w:bCs/>
                          <w:color w:val="auto"/>
                          <w:sz w:val="24"/>
                          <w:szCs w:val="24"/>
                        </w:rPr>
                        <w:t xml:space="preserve"> Respondents' </w:t>
                      </w:r>
                      <w:r>
                        <w:rPr>
                          <w:rFonts w:ascii="Times New Roman" w:hAnsi="Times New Roman" w:cs="Times New Roman"/>
                          <w:b/>
                          <w:bCs/>
                          <w:color w:val="auto"/>
                          <w:sz w:val="24"/>
                          <w:szCs w:val="24"/>
                        </w:rPr>
                        <w:t xml:space="preserve">Land </w:t>
                      </w:r>
                      <w:r w:rsidR="00D17E52">
                        <w:rPr>
                          <w:rFonts w:ascii="Times New Roman" w:hAnsi="Times New Roman" w:cs="Times New Roman"/>
                          <w:b/>
                          <w:bCs/>
                          <w:color w:val="auto"/>
                          <w:sz w:val="24"/>
                          <w:szCs w:val="24"/>
                        </w:rPr>
                        <w:t>Area</w:t>
                      </w:r>
                    </w:p>
                    <w:p w14:paraId="2B25CCAE" w14:textId="77777777" w:rsidR="006825FC" w:rsidRPr="00305035" w:rsidRDefault="006825FC" w:rsidP="006825FC"/>
                    <w:p w14:paraId="6429F963" w14:textId="77777777" w:rsidR="006825FC" w:rsidRPr="00305035" w:rsidRDefault="006825FC" w:rsidP="006825FC"/>
                  </w:txbxContent>
                </v:textbox>
              </v:shape>
            </w:pict>
          </mc:Fallback>
        </mc:AlternateContent>
      </w:r>
      <w:r w:rsidR="002539CD">
        <w:rPr>
          <w:rFonts w:ascii="Times New Roman" w:hAnsi="Times New Roman" w:cs="Times New Roman"/>
          <w:sz w:val="24"/>
          <w:szCs w:val="24"/>
        </w:rPr>
        <w:br w:type="textWrapping" w:clear="all"/>
      </w:r>
    </w:p>
    <w:p w14:paraId="465A5ACC" w14:textId="5986219C" w:rsidR="00D4379A" w:rsidRPr="00D4379A" w:rsidRDefault="00B020D1" w:rsidP="00DA7310">
      <w:pPr>
        <w:spacing w:line="480" w:lineRule="auto"/>
        <w:jc w:val="both"/>
        <w:rPr>
          <w:rFonts w:ascii="Times New Roman" w:hAnsi="Times New Roman" w:cs="Times New Roman"/>
          <w:sz w:val="24"/>
          <w:szCs w:val="24"/>
        </w:rPr>
      </w:pPr>
      <w:r w:rsidRPr="00B020D1">
        <w:rPr>
          <w:rFonts w:ascii="Times New Roman" w:hAnsi="Times New Roman" w:cs="Times New Roman"/>
          <w:b/>
          <w:bCs/>
          <w:sz w:val="24"/>
          <w:szCs w:val="24"/>
        </w:rPr>
        <w:t>Discussion:</w:t>
      </w:r>
      <w:r w:rsidRPr="00B020D1">
        <w:rPr>
          <w:rFonts w:ascii="Times New Roman" w:hAnsi="Times New Roman" w:cs="Times New Roman"/>
          <w:sz w:val="24"/>
          <w:szCs w:val="24"/>
        </w:rPr>
        <w:br/>
      </w:r>
      <w:r w:rsidR="00D4379A" w:rsidRPr="00D4379A">
        <w:rPr>
          <w:rFonts w:ascii="Times New Roman" w:hAnsi="Times New Roman" w:cs="Times New Roman"/>
          <w:sz w:val="24"/>
          <w:szCs w:val="24"/>
        </w:rPr>
        <w:t>The data show that the majority of respondents (40 out of 60, or 67%) are marginal farmers with less than 2.5 acres of land. Small farmers, owning 2.5–5 acres, account for 13 respondents (2</w:t>
      </w:r>
      <w:r w:rsidR="00D4379A">
        <w:rPr>
          <w:rFonts w:ascii="Times New Roman" w:hAnsi="Times New Roman" w:cs="Times New Roman"/>
          <w:sz w:val="24"/>
          <w:szCs w:val="24"/>
        </w:rPr>
        <w:t>2%</w:t>
      </w:r>
      <w:r w:rsidR="00D4379A" w:rsidRPr="00D4379A">
        <w:rPr>
          <w:rFonts w:ascii="Times New Roman" w:hAnsi="Times New Roman" w:cs="Times New Roman"/>
          <w:sz w:val="24"/>
          <w:szCs w:val="24"/>
        </w:rPr>
        <w:t>), while only 7 respondents (11) are large farmers with more than 5 acres. This distribution highlights the dominance of small-scale farming in the surveyed population. The prevalence of marginal and small farmers may influence farm productivity, access to resources, and the adoption of modern agricultural practices, as limited land often constrains mechanization, input usage, and investment in soil fertility management strategies.</w:t>
      </w:r>
    </w:p>
    <w:p w14:paraId="03868197" w14:textId="77777777" w:rsidR="00D4379A" w:rsidRDefault="00D4379A" w:rsidP="00DA7310">
      <w:pPr>
        <w:spacing w:line="480" w:lineRule="auto"/>
        <w:jc w:val="both"/>
        <w:rPr>
          <w:rFonts w:ascii="Times New Roman" w:hAnsi="Times New Roman" w:cs="Times New Roman"/>
          <w:b/>
          <w:bCs/>
          <w:sz w:val="24"/>
          <w:szCs w:val="24"/>
        </w:rPr>
      </w:pPr>
    </w:p>
    <w:p w14:paraId="66868E0E" w14:textId="5B2966AD" w:rsidR="00EB2C7E" w:rsidRDefault="00876689" w:rsidP="00DA7310">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4.8. </w:t>
      </w:r>
      <w:r w:rsidR="00922155" w:rsidRPr="00922155">
        <w:rPr>
          <w:rFonts w:ascii="Times New Roman" w:hAnsi="Times New Roman" w:cs="Times New Roman"/>
          <w:b/>
          <w:bCs/>
          <w:sz w:val="24"/>
          <w:szCs w:val="24"/>
        </w:rPr>
        <w:t>Farmers’ Attitude Towards the Use of Fertilizers</w:t>
      </w:r>
    </w:p>
    <w:p w14:paraId="15A08A33" w14:textId="77777777" w:rsidR="00E33D40" w:rsidRPr="00E33D40" w:rsidRDefault="00E33D40" w:rsidP="00E33D40">
      <w:pPr>
        <w:spacing w:line="480" w:lineRule="auto"/>
        <w:jc w:val="both"/>
        <w:rPr>
          <w:rFonts w:ascii="Times New Roman" w:hAnsi="Times New Roman" w:cs="Times New Roman"/>
          <w:b/>
          <w:bCs/>
          <w:sz w:val="24"/>
          <w:szCs w:val="24"/>
        </w:rPr>
      </w:pPr>
      <w:r w:rsidRPr="00E33D40">
        <w:rPr>
          <w:rFonts w:ascii="Times New Roman" w:hAnsi="Times New Roman" w:cs="Times New Roman"/>
          <w:b/>
          <w:bCs/>
          <w:sz w:val="24"/>
          <w:szCs w:val="24"/>
        </w:rPr>
        <w:t>Fertilizers Used</w:t>
      </w:r>
    </w:p>
    <w:p w14:paraId="673EECF8" w14:textId="5B6FB974" w:rsidR="00FB4A19" w:rsidRDefault="00E33D40" w:rsidP="00E33D40">
      <w:pPr>
        <w:spacing w:line="480" w:lineRule="auto"/>
        <w:jc w:val="both"/>
        <w:rPr>
          <w:rFonts w:ascii="Times New Roman" w:hAnsi="Times New Roman" w:cs="Times New Roman"/>
          <w:sz w:val="24"/>
          <w:szCs w:val="24"/>
        </w:rPr>
      </w:pPr>
      <w:r w:rsidRPr="00E33D40">
        <w:rPr>
          <w:rFonts w:ascii="Times New Roman" w:hAnsi="Times New Roman" w:cs="Times New Roman"/>
          <w:sz w:val="24"/>
          <w:szCs w:val="24"/>
        </w:rPr>
        <w:t xml:space="preserve">The survey recorded the preference of farmers for organic and inorganic fertilizers to understand their attitude toward fertilizer use. The results are </w:t>
      </w:r>
      <w:r>
        <w:rPr>
          <w:rFonts w:ascii="Times New Roman" w:hAnsi="Times New Roman" w:cs="Times New Roman"/>
          <w:sz w:val="24"/>
          <w:szCs w:val="24"/>
        </w:rPr>
        <w:t>summarised.</w:t>
      </w:r>
    </w:p>
    <w:tbl>
      <w:tblPr>
        <w:tblStyle w:val="TableGrid"/>
        <w:tblpPr w:leftFromText="180" w:rightFromText="180" w:vertAnchor="text" w:tblpY="1"/>
        <w:tblOverlap w:val="never"/>
        <w:tblW w:w="0" w:type="auto"/>
        <w:tblLook w:val="04A0" w:firstRow="1" w:lastRow="0" w:firstColumn="1" w:lastColumn="0" w:noHBand="0" w:noVBand="1"/>
      </w:tblPr>
      <w:tblGrid>
        <w:gridCol w:w="2302"/>
        <w:gridCol w:w="1875"/>
      </w:tblGrid>
      <w:tr w:rsidR="005D56F0" w14:paraId="6601EF7A" w14:textId="77777777" w:rsidTr="00CC24EC">
        <w:trPr>
          <w:trHeight w:val="1317"/>
        </w:trPr>
        <w:tc>
          <w:tcPr>
            <w:tcW w:w="2302" w:type="dxa"/>
          </w:tcPr>
          <w:p w14:paraId="28512D98" w14:textId="5E062C78" w:rsidR="005D56F0" w:rsidRPr="00676A08" w:rsidRDefault="00332349" w:rsidP="00CC24EC">
            <w:pPr>
              <w:spacing w:line="480" w:lineRule="auto"/>
              <w:jc w:val="center"/>
              <w:rPr>
                <w:rFonts w:ascii="Times New Roman" w:hAnsi="Times New Roman" w:cs="Times New Roman"/>
                <w:b/>
                <w:bCs/>
                <w:sz w:val="24"/>
                <w:szCs w:val="24"/>
              </w:rPr>
            </w:pPr>
            <w:r w:rsidRPr="00676A08">
              <w:rPr>
                <w:rFonts w:ascii="Times New Roman" w:hAnsi="Times New Roman" w:cs="Times New Roman"/>
                <w:b/>
                <w:bCs/>
                <w:sz w:val="24"/>
                <w:szCs w:val="24"/>
              </w:rPr>
              <w:t>Fertilizer Type</w:t>
            </w:r>
          </w:p>
        </w:tc>
        <w:tc>
          <w:tcPr>
            <w:tcW w:w="1875" w:type="dxa"/>
          </w:tcPr>
          <w:p w14:paraId="4D4EE05B" w14:textId="5B979556" w:rsidR="005D56F0" w:rsidRPr="00676A08" w:rsidRDefault="00D86A0D" w:rsidP="00CC24EC">
            <w:pPr>
              <w:spacing w:line="480" w:lineRule="auto"/>
              <w:jc w:val="center"/>
              <w:rPr>
                <w:rFonts w:ascii="Times New Roman" w:hAnsi="Times New Roman" w:cs="Times New Roman"/>
                <w:b/>
                <w:bCs/>
                <w:sz w:val="24"/>
                <w:szCs w:val="24"/>
              </w:rPr>
            </w:pPr>
            <w:r w:rsidRPr="00676A08">
              <w:rPr>
                <w:rFonts w:ascii="Times New Roman" w:hAnsi="Times New Roman" w:cs="Times New Roman"/>
                <w:b/>
                <w:bCs/>
                <w:sz w:val="24"/>
                <w:szCs w:val="24"/>
              </w:rPr>
              <w:t>No. of. Respondents</w:t>
            </w:r>
          </w:p>
        </w:tc>
      </w:tr>
      <w:tr w:rsidR="005D56F0" w14:paraId="5449EE74" w14:textId="77777777" w:rsidTr="00CC24EC">
        <w:trPr>
          <w:trHeight w:val="658"/>
        </w:trPr>
        <w:tc>
          <w:tcPr>
            <w:tcW w:w="2302" w:type="dxa"/>
          </w:tcPr>
          <w:p w14:paraId="734D1527" w14:textId="64BB370B" w:rsidR="005D56F0" w:rsidRDefault="00332349" w:rsidP="00CC24EC">
            <w:pPr>
              <w:spacing w:line="480" w:lineRule="auto"/>
              <w:jc w:val="center"/>
              <w:rPr>
                <w:rFonts w:ascii="Times New Roman" w:hAnsi="Times New Roman" w:cs="Times New Roman"/>
                <w:sz w:val="24"/>
                <w:szCs w:val="24"/>
              </w:rPr>
            </w:pPr>
            <w:r>
              <w:rPr>
                <w:rFonts w:ascii="Times New Roman" w:hAnsi="Times New Roman" w:cs="Times New Roman"/>
                <w:sz w:val="24"/>
                <w:szCs w:val="24"/>
              </w:rPr>
              <w:t>In Organic</w:t>
            </w:r>
          </w:p>
        </w:tc>
        <w:tc>
          <w:tcPr>
            <w:tcW w:w="1875" w:type="dxa"/>
          </w:tcPr>
          <w:p w14:paraId="6F316057" w14:textId="1F702654" w:rsidR="005D56F0" w:rsidRDefault="00D86A0D" w:rsidP="00CC24EC">
            <w:pPr>
              <w:spacing w:line="480" w:lineRule="auto"/>
              <w:jc w:val="center"/>
              <w:rPr>
                <w:rFonts w:ascii="Times New Roman" w:hAnsi="Times New Roman" w:cs="Times New Roman"/>
                <w:sz w:val="24"/>
                <w:szCs w:val="24"/>
              </w:rPr>
            </w:pPr>
            <w:r>
              <w:rPr>
                <w:rFonts w:ascii="Times New Roman" w:hAnsi="Times New Roman" w:cs="Times New Roman"/>
                <w:sz w:val="24"/>
                <w:szCs w:val="24"/>
              </w:rPr>
              <w:t>37</w:t>
            </w:r>
          </w:p>
        </w:tc>
      </w:tr>
      <w:tr w:rsidR="005D56F0" w14:paraId="5EA75B1B" w14:textId="77777777" w:rsidTr="00CC24EC">
        <w:trPr>
          <w:trHeight w:val="644"/>
        </w:trPr>
        <w:tc>
          <w:tcPr>
            <w:tcW w:w="2302" w:type="dxa"/>
          </w:tcPr>
          <w:p w14:paraId="334DB3EE" w14:textId="0EC94F2F" w:rsidR="005D56F0" w:rsidRDefault="00332349" w:rsidP="00CC24EC">
            <w:pPr>
              <w:spacing w:line="480" w:lineRule="auto"/>
              <w:jc w:val="center"/>
              <w:rPr>
                <w:rFonts w:ascii="Times New Roman" w:hAnsi="Times New Roman" w:cs="Times New Roman"/>
                <w:sz w:val="24"/>
                <w:szCs w:val="24"/>
              </w:rPr>
            </w:pPr>
            <w:r>
              <w:rPr>
                <w:rFonts w:ascii="Times New Roman" w:hAnsi="Times New Roman" w:cs="Times New Roman"/>
                <w:sz w:val="24"/>
                <w:szCs w:val="24"/>
              </w:rPr>
              <w:t>Organic</w:t>
            </w:r>
          </w:p>
        </w:tc>
        <w:tc>
          <w:tcPr>
            <w:tcW w:w="1875" w:type="dxa"/>
          </w:tcPr>
          <w:p w14:paraId="46FC787E" w14:textId="09685C0B" w:rsidR="005D56F0" w:rsidRDefault="00D86A0D" w:rsidP="00CC24EC">
            <w:pPr>
              <w:spacing w:line="48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5D56F0" w14:paraId="78FAD9F1" w14:textId="77777777" w:rsidTr="00CC24EC">
        <w:trPr>
          <w:trHeight w:val="658"/>
        </w:trPr>
        <w:tc>
          <w:tcPr>
            <w:tcW w:w="2302" w:type="dxa"/>
          </w:tcPr>
          <w:p w14:paraId="555EF2C6" w14:textId="4B217C81" w:rsidR="005D56F0" w:rsidRPr="00676A08" w:rsidRDefault="00332349" w:rsidP="00CC24EC">
            <w:pPr>
              <w:spacing w:line="480" w:lineRule="auto"/>
              <w:jc w:val="center"/>
              <w:rPr>
                <w:rFonts w:ascii="Times New Roman" w:hAnsi="Times New Roman" w:cs="Times New Roman"/>
                <w:b/>
                <w:bCs/>
                <w:sz w:val="24"/>
                <w:szCs w:val="24"/>
              </w:rPr>
            </w:pPr>
            <w:r w:rsidRPr="00676A08">
              <w:rPr>
                <w:rFonts w:ascii="Times New Roman" w:hAnsi="Times New Roman" w:cs="Times New Roman"/>
                <w:b/>
                <w:bCs/>
                <w:sz w:val="24"/>
                <w:szCs w:val="24"/>
              </w:rPr>
              <w:t>Total</w:t>
            </w:r>
          </w:p>
        </w:tc>
        <w:tc>
          <w:tcPr>
            <w:tcW w:w="1875" w:type="dxa"/>
          </w:tcPr>
          <w:p w14:paraId="36947936" w14:textId="24C354FC" w:rsidR="005D56F0" w:rsidRPr="00676A08" w:rsidRDefault="00D86A0D" w:rsidP="00CC24EC">
            <w:pPr>
              <w:spacing w:line="480" w:lineRule="auto"/>
              <w:jc w:val="center"/>
              <w:rPr>
                <w:rFonts w:ascii="Times New Roman" w:hAnsi="Times New Roman" w:cs="Times New Roman"/>
                <w:b/>
                <w:bCs/>
                <w:sz w:val="24"/>
                <w:szCs w:val="24"/>
              </w:rPr>
            </w:pPr>
            <w:r w:rsidRPr="00676A08">
              <w:rPr>
                <w:rFonts w:ascii="Times New Roman" w:hAnsi="Times New Roman" w:cs="Times New Roman"/>
                <w:b/>
                <w:bCs/>
                <w:sz w:val="24"/>
                <w:szCs w:val="24"/>
              </w:rPr>
              <w:t>60</w:t>
            </w:r>
          </w:p>
        </w:tc>
      </w:tr>
    </w:tbl>
    <w:p w14:paraId="3F53DE8E" w14:textId="682A6DE8" w:rsidR="00103A06" w:rsidRDefault="00FB4A19" w:rsidP="00103A06">
      <w:pPr>
        <w:spacing w:line="480" w:lineRule="auto"/>
        <w:jc w:val="center"/>
        <w:rPr>
          <w:rFonts w:ascii="Times New Roman" w:hAnsi="Times New Roman" w:cs="Times New Roman"/>
          <w:sz w:val="24"/>
          <w:szCs w:val="24"/>
        </w:rPr>
      </w:pPr>
      <w:r>
        <w:rPr>
          <w:rFonts w:ascii="Times New Roman" w:hAnsi="Times New Roman" w:cs="Times New Roman"/>
          <w:b/>
          <w:bCs/>
          <w:sz w:val="24"/>
          <w:szCs w:val="24"/>
        </w:rPr>
        <w:drawing>
          <wp:anchor distT="0" distB="0" distL="114300" distR="114300" simplePos="0" relativeHeight="251681792" behindDoc="1" locked="0" layoutInCell="1" allowOverlap="1" wp14:anchorId="37D62AAD" wp14:editId="01EB5075">
            <wp:simplePos x="0" y="0"/>
            <wp:positionH relativeFrom="margin">
              <wp:posOffset>3025140</wp:posOffset>
            </wp:positionH>
            <wp:positionV relativeFrom="paragraph">
              <wp:posOffset>-11430</wp:posOffset>
            </wp:positionV>
            <wp:extent cx="3268980" cy="2141220"/>
            <wp:effectExtent l="0" t="0" r="7620" b="11430"/>
            <wp:wrapNone/>
            <wp:docPr id="1255135403"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14:paraId="4EDD5E9D" w14:textId="77777777" w:rsidR="00103A06" w:rsidRDefault="00103A06" w:rsidP="00103A06">
      <w:pPr>
        <w:spacing w:line="480" w:lineRule="auto"/>
        <w:jc w:val="center"/>
        <w:rPr>
          <w:rFonts w:ascii="Times New Roman" w:hAnsi="Times New Roman" w:cs="Times New Roman"/>
          <w:sz w:val="24"/>
          <w:szCs w:val="24"/>
        </w:rPr>
      </w:pPr>
    </w:p>
    <w:p w14:paraId="57E5E78C" w14:textId="77777777" w:rsidR="00103A06" w:rsidRDefault="00103A06" w:rsidP="00103A06">
      <w:pPr>
        <w:spacing w:line="480" w:lineRule="auto"/>
        <w:jc w:val="center"/>
        <w:rPr>
          <w:rFonts w:ascii="Times New Roman" w:hAnsi="Times New Roman" w:cs="Times New Roman"/>
          <w:sz w:val="24"/>
          <w:szCs w:val="24"/>
        </w:rPr>
      </w:pPr>
    </w:p>
    <w:p w14:paraId="17DF5AB2" w14:textId="0553184C" w:rsidR="00103A06" w:rsidRDefault="00103A06" w:rsidP="00103A06">
      <w:pPr>
        <w:spacing w:line="480" w:lineRule="auto"/>
        <w:jc w:val="center"/>
        <w:rPr>
          <w:rFonts w:ascii="Times New Roman" w:hAnsi="Times New Roman" w:cs="Times New Roman"/>
          <w:sz w:val="24"/>
          <w:szCs w:val="24"/>
        </w:rPr>
      </w:pPr>
    </w:p>
    <w:p w14:paraId="775B6FDF" w14:textId="02B2925D" w:rsidR="00015DDE" w:rsidRPr="00305035" w:rsidRDefault="00015DDE" w:rsidP="00015DDE">
      <w:pPr>
        <w:pStyle w:val="Caption"/>
        <w:framePr w:w="4405" w:h="409" w:hRule="exact" w:hSpace="180" w:wrap="around" w:vAnchor="text" w:hAnchor="page" w:x="1321" w:y="597"/>
        <w:jc w:val="center"/>
        <w:rPr>
          <w:rFonts w:ascii="Times New Roman" w:hAnsi="Times New Roman" w:cs="Times New Roman"/>
          <w:sz w:val="24"/>
          <w:szCs w:val="24"/>
        </w:rPr>
      </w:pPr>
      <w:r w:rsidRPr="00305035">
        <w:rPr>
          <w:rFonts w:ascii="Times New Roman" w:hAnsi="Times New Roman" w:cs="Times New Roman"/>
          <w:b/>
          <w:bCs/>
          <w:color w:val="auto"/>
          <w:sz w:val="24"/>
          <w:szCs w:val="24"/>
        </w:rPr>
        <w:t xml:space="preserve">Table </w:t>
      </w:r>
      <w:r w:rsidR="00091479">
        <w:rPr>
          <w:rFonts w:ascii="Times New Roman" w:hAnsi="Times New Roman" w:cs="Times New Roman"/>
          <w:b/>
          <w:bCs/>
          <w:color w:val="auto"/>
          <w:sz w:val="24"/>
          <w:szCs w:val="24"/>
        </w:rPr>
        <w:t xml:space="preserve">8 </w:t>
      </w:r>
      <w:r w:rsidRPr="00305035">
        <w:rPr>
          <w:rFonts w:ascii="Times New Roman" w:hAnsi="Times New Roman" w:cs="Times New Roman"/>
          <w:b/>
          <w:bCs/>
          <w:color w:val="auto"/>
          <w:sz w:val="24"/>
          <w:szCs w:val="24"/>
        </w:rPr>
        <w:t>–</w:t>
      </w:r>
      <w:r>
        <w:rPr>
          <w:rFonts w:ascii="Times New Roman" w:hAnsi="Times New Roman" w:cs="Times New Roman"/>
          <w:b/>
          <w:bCs/>
          <w:color w:val="auto"/>
          <w:sz w:val="24"/>
          <w:szCs w:val="24"/>
        </w:rPr>
        <w:t xml:space="preserve">   Fertilizer Used by </w:t>
      </w:r>
      <w:r w:rsidRPr="006D365C">
        <w:rPr>
          <w:rFonts w:ascii="Times New Roman" w:hAnsi="Times New Roman" w:cs="Times New Roman"/>
          <w:b/>
          <w:bCs/>
          <w:color w:val="auto"/>
          <w:sz w:val="24"/>
          <w:szCs w:val="24"/>
        </w:rPr>
        <w:t>Respondents</w:t>
      </w:r>
      <w:r w:rsidRPr="00305035">
        <w:rPr>
          <w:rFonts w:ascii="Times New Roman" w:hAnsi="Times New Roman" w:cs="Times New Roman"/>
          <w:sz w:val="24"/>
          <w:szCs w:val="24"/>
        </w:rPr>
        <w:br w:type="textWrapping" w:clear="all"/>
      </w:r>
    </w:p>
    <w:p w14:paraId="1DEAD8A9" w14:textId="225B7750" w:rsidR="00103A06" w:rsidRDefault="006B789E" w:rsidP="00103A06">
      <w:pPr>
        <w:spacing w:line="480" w:lineRule="auto"/>
        <w:jc w:val="center"/>
        <w:rPr>
          <w:rFonts w:ascii="Times New Roman" w:hAnsi="Times New Roman" w:cs="Times New Roman"/>
          <w:sz w:val="24"/>
          <w:szCs w:val="24"/>
        </w:rPr>
      </w:pPr>
      <w:r w:rsidRPr="00305035">
        <mc:AlternateContent>
          <mc:Choice Requires="wps">
            <w:drawing>
              <wp:anchor distT="0" distB="0" distL="114300" distR="114300" simplePos="0" relativeHeight="251683840" behindDoc="1" locked="0" layoutInCell="1" allowOverlap="1" wp14:anchorId="582EA7CA" wp14:editId="33DC44B2">
                <wp:simplePos x="0" y="0"/>
                <wp:positionH relativeFrom="column">
                  <wp:posOffset>2895600</wp:posOffset>
                </wp:positionH>
                <wp:positionV relativeFrom="paragraph">
                  <wp:posOffset>431800</wp:posOffset>
                </wp:positionV>
                <wp:extent cx="3482340" cy="297180"/>
                <wp:effectExtent l="0" t="0" r="3810" b="7620"/>
                <wp:wrapNone/>
                <wp:docPr id="79126517" name="Text Box 1"/>
                <wp:cNvGraphicFramePr/>
                <a:graphic xmlns:a="http://schemas.openxmlformats.org/drawingml/2006/main">
                  <a:graphicData uri="http://schemas.microsoft.com/office/word/2010/wordprocessingShape">
                    <wps:wsp>
                      <wps:cNvSpPr txBox="1"/>
                      <wps:spPr>
                        <a:xfrm>
                          <a:off x="0" y="0"/>
                          <a:ext cx="3482340" cy="297180"/>
                        </a:xfrm>
                        <a:prstGeom prst="rect">
                          <a:avLst/>
                        </a:prstGeom>
                        <a:solidFill>
                          <a:prstClr val="white"/>
                        </a:solidFill>
                        <a:ln>
                          <a:noFill/>
                        </a:ln>
                      </wps:spPr>
                      <wps:txbx>
                        <w:txbxContent>
                          <w:p w14:paraId="7BBE14D6" w14:textId="6BA341E7" w:rsidR="003A376B" w:rsidRPr="00305035" w:rsidRDefault="003A376B" w:rsidP="003A376B">
                            <w:pPr>
                              <w:pStyle w:val="Caption"/>
                              <w:jc w:val="center"/>
                              <w:rPr>
                                <w:rFonts w:ascii="Times New Roman" w:hAnsi="Times New Roman" w:cs="Times New Roman"/>
                                <w:b/>
                                <w:bCs/>
                                <w:color w:val="auto"/>
                                <w:sz w:val="24"/>
                                <w:szCs w:val="24"/>
                              </w:rPr>
                            </w:pPr>
                            <w:r w:rsidRPr="00305035">
                              <w:rPr>
                                <w:rFonts w:ascii="Times New Roman" w:hAnsi="Times New Roman" w:cs="Times New Roman"/>
                                <w:b/>
                                <w:bCs/>
                                <w:color w:val="auto"/>
                                <w:sz w:val="24"/>
                                <w:szCs w:val="24"/>
                              </w:rPr>
                              <w:t xml:space="preserve">Figure </w:t>
                            </w:r>
                            <w:r>
                              <w:rPr>
                                <w:rFonts w:ascii="Times New Roman" w:hAnsi="Times New Roman" w:cs="Times New Roman"/>
                                <w:b/>
                                <w:bCs/>
                                <w:color w:val="auto"/>
                                <w:sz w:val="24"/>
                                <w:szCs w:val="24"/>
                              </w:rPr>
                              <w:t>8</w:t>
                            </w:r>
                            <w:r w:rsidRPr="00305035">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 xml:space="preserve"> </w:t>
                            </w:r>
                            <w:r w:rsidR="006B789E" w:rsidRPr="006B789E">
                              <w:rPr>
                                <w:rFonts w:ascii="Times New Roman" w:hAnsi="Times New Roman" w:cs="Times New Roman"/>
                                <w:b/>
                                <w:bCs/>
                                <w:color w:val="auto"/>
                                <w:sz w:val="24"/>
                                <w:szCs w:val="24"/>
                              </w:rPr>
                              <w:t>Fertilizer Usage Among Respondents</w:t>
                            </w:r>
                            <w:r w:rsidR="00143F93">
                              <w:rPr>
                                <w:rFonts w:ascii="Times New Roman" w:hAnsi="Times New Roman" w:cs="Times New Roman"/>
                                <w:b/>
                                <w:bCs/>
                                <w:color w:val="auto"/>
                                <w:sz w:val="24"/>
                                <w:szCs w:val="24"/>
                              </w:rPr>
                              <w:t xml:space="preserve"> in %</w:t>
                            </w:r>
                          </w:p>
                          <w:p w14:paraId="46324995" w14:textId="77777777" w:rsidR="003A376B" w:rsidRPr="00305035" w:rsidRDefault="003A376B" w:rsidP="003A376B"/>
                          <w:p w14:paraId="123DAC14" w14:textId="77777777" w:rsidR="003A376B" w:rsidRPr="00305035" w:rsidRDefault="003A376B" w:rsidP="003A376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EA7CA" id="_x0000_s1034" type="#_x0000_t202" style="position:absolute;left:0;text-align:left;margin-left:228pt;margin-top:34pt;width:274.2pt;height:23.4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" stroked="f">
                <v:textbox inset="0,0,0,0">
                  <w:txbxContent>
                    <w:p w14:paraId="7BBE14D6" w14:textId="6BA341E7" w:rsidR="003A376B" w:rsidRPr="00305035" w:rsidRDefault="003A376B" w:rsidP="003A376B">
                      <w:pPr>
                        <w:pStyle w:val="Caption"/>
                        <w:jc w:val="center"/>
                        <w:rPr>
                          <w:rFonts w:ascii="Times New Roman" w:hAnsi="Times New Roman" w:cs="Times New Roman"/>
                          <w:b/>
                          <w:bCs/>
                          <w:color w:val="auto"/>
                          <w:sz w:val="24"/>
                          <w:szCs w:val="24"/>
                        </w:rPr>
                      </w:pPr>
                      <w:r w:rsidRPr="00305035">
                        <w:rPr>
                          <w:rFonts w:ascii="Times New Roman" w:hAnsi="Times New Roman" w:cs="Times New Roman"/>
                          <w:b/>
                          <w:bCs/>
                          <w:color w:val="auto"/>
                          <w:sz w:val="24"/>
                          <w:szCs w:val="24"/>
                        </w:rPr>
                        <w:t xml:space="preserve">Figure </w:t>
                      </w:r>
                      <w:r>
                        <w:rPr>
                          <w:rFonts w:ascii="Times New Roman" w:hAnsi="Times New Roman" w:cs="Times New Roman"/>
                          <w:b/>
                          <w:bCs/>
                          <w:color w:val="auto"/>
                          <w:sz w:val="24"/>
                          <w:szCs w:val="24"/>
                        </w:rPr>
                        <w:t>8</w:t>
                      </w:r>
                      <w:r w:rsidRPr="00305035">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 xml:space="preserve"> </w:t>
                      </w:r>
                      <w:r w:rsidR="006B789E" w:rsidRPr="006B789E">
                        <w:rPr>
                          <w:rFonts w:ascii="Times New Roman" w:hAnsi="Times New Roman" w:cs="Times New Roman"/>
                          <w:b/>
                          <w:bCs/>
                          <w:color w:val="auto"/>
                          <w:sz w:val="24"/>
                          <w:szCs w:val="24"/>
                        </w:rPr>
                        <w:t>Fertilizer Usage Among Respondents</w:t>
                      </w:r>
                      <w:r w:rsidR="00143F93">
                        <w:rPr>
                          <w:rFonts w:ascii="Times New Roman" w:hAnsi="Times New Roman" w:cs="Times New Roman"/>
                          <w:b/>
                          <w:bCs/>
                          <w:color w:val="auto"/>
                          <w:sz w:val="24"/>
                          <w:szCs w:val="24"/>
                        </w:rPr>
                        <w:t xml:space="preserve"> in %</w:t>
                      </w:r>
                    </w:p>
                    <w:p w14:paraId="46324995" w14:textId="77777777" w:rsidR="003A376B" w:rsidRPr="00305035" w:rsidRDefault="003A376B" w:rsidP="003A376B"/>
                    <w:p w14:paraId="123DAC14" w14:textId="77777777" w:rsidR="003A376B" w:rsidRPr="00305035" w:rsidRDefault="003A376B" w:rsidP="003A376B"/>
                  </w:txbxContent>
                </v:textbox>
              </v:shape>
            </w:pict>
          </mc:Fallback>
        </mc:AlternateContent>
      </w:r>
    </w:p>
    <w:p w14:paraId="52640476" w14:textId="77777777" w:rsidR="00064557" w:rsidRDefault="00064557" w:rsidP="00103A06">
      <w:pPr>
        <w:spacing w:line="480" w:lineRule="auto"/>
        <w:jc w:val="both"/>
        <w:rPr>
          <w:rFonts w:ascii="Times New Roman" w:hAnsi="Times New Roman" w:cs="Times New Roman"/>
          <w:sz w:val="24"/>
          <w:szCs w:val="24"/>
        </w:rPr>
      </w:pPr>
    </w:p>
    <w:p w14:paraId="34B1FB30" w14:textId="3F05360B" w:rsidR="00E33D40" w:rsidRDefault="00980A79" w:rsidP="00103A06">
      <w:pPr>
        <w:spacing w:line="480" w:lineRule="auto"/>
        <w:jc w:val="both"/>
        <w:rPr>
          <w:rFonts w:ascii="Times New Roman" w:hAnsi="Times New Roman" w:cs="Times New Roman"/>
          <w:sz w:val="24"/>
          <w:szCs w:val="24"/>
        </w:rPr>
      </w:pPr>
      <w:r w:rsidRPr="00980A79">
        <w:rPr>
          <w:rFonts w:ascii="Times New Roman" w:hAnsi="Times New Roman" w:cs="Times New Roman"/>
          <w:b/>
          <w:bCs/>
          <w:sz w:val="24"/>
          <w:szCs w:val="24"/>
        </w:rPr>
        <w:t>Discussion:</w:t>
      </w:r>
      <w:r w:rsidRPr="00980A79">
        <w:rPr>
          <w:rFonts w:ascii="Times New Roman" w:hAnsi="Times New Roman" w:cs="Times New Roman"/>
          <w:sz w:val="24"/>
          <w:szCs w:val="24"/>
        </w:rPr>
        <w:br/>
        <w:t>The results indicate that inorganic fertilizers are more widely used among the respondents, suggesting reliance on chemical inputs for higher productivity. However, a substantial proportion of farmers (39%) use organic fertilizers, reflecting growing awareness and interest in sustainable farming practices.</w:t>
      </w:r>
    </w:p>
    <w:p w14:paraId="0F7EC976" w14:textId="46A679F7" w:rsidR="00CB43E9" w:rsidRPr="00CB43E9" w:rsidRDefault="00876689" w:rsidP="00CB43E9">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4.9. </w:t>
      </w:r>
      <w:r w:rsidR="00CB43E9" w:rsidRPr="00CB43E9">
        <w:rPr>
          <w:rFonts w:ascii="Times New Roman" w:hAnsi="Times New Roman" w:cs="Times New Roman"/>
          <w:b/>
          <w:bCs/>
          <w:sz w:val="24"/>
          <w:szCs w:val="24"/>
        </w:rPr>
        <w:t>Fertilizer Preference</w:t>
      </w:r>
    </w:p>
    <w:p w14:paraId="0E036B64" w14:textId="777AF137" w:rsidR="00CB43E9" w:rsidRDefault="00C146AE" w:rsidP="00CB43E9">
      <w:pPr>
        <w:spacing w:line="480" w:lineRule="auto"/>
        <w:jc w:val="both"/>
        <w:rPr>
          <w:rFonts w:ascii="Times New Roman" w:hAnsi="Times New Roman" w:cs="Times New Roman"/>
          <w:sz w:val="24"/>
          <w:szCs w:val="24"/>
        </w:rPr>
      </w:pPr>
      <w:r w:rsidRPr="00305035">
        <w:rPr>
          <w:rFonts w:ascii="Times New Roman" w:hAnsi="Times New Roman" w:cs="Times New Roman"/>
          <w:sz w:val="24"/>
          <w:szCs w:val="24"/>
        </w:rPr>
        <w:drawing>
          <wp:anchor distT="0" distB="0" distL="114300" distR="114300" simplePos="0" relativeHeight="251685888" behindDoc="1" locked="0" layoutInCell="1" allowOverlap="1" wp14:anchorId="52AEF8DA" wp14:editId="09BE9B2C">
            <wp:simplePos x="0" y="0"/>
            <wp:positionH relativeFrom="margin">
              <wp:posOffset>3657600</wp:posOffset>
            </wp:positionH>
            <wp:positionV relativeFrom="paragraph">
              <wp:posOffset>407035</wp:posOffset>
            </wp:positionV>
            <wp:extent cx="2476500" cy="1501140"/>
            <wp:effectExtent l="0" t="0" r="0" b="3810"/>
            <wp:wrapNone/>
            <wp:docPr id="1890943339"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CB43E9" w:rsidRPr="00CB43E9">
        <w:rPr>
          <w:rFonts w:ascii="Times New Roman" w:hAnsi="Times New Roman" w:cs="Times New Roman"/>
          <w:sz w:val="24"/>
          <w:szCs w:val="24"/>
        </w:rPr>
        <w:t>The survey assessed farmers’ overall preference between organic and inorganic fertilizers.</w:t>
      </w:r>
    </w:p>
    <w:tbl>
      <w:tblPr>
        <w:tblStyle w:val="TableGrid"/>
        <w:tblW w:w="0" w:type="auto"/>
        <w:tblInd w:w="-5" w:type="dxa"/>
        <w:tblLook w:val="04A0" w:firstRow="1" w:lastRow="0" w:firstColumn="1" w:lastColumn="0" w:noHBand="0" w:noVBand="1"/>
      </w:tblPr>
      <w:tblGrid>
        <w:gridCol w:w="2405"/>
        <w:gridCol w:w="2982"/>
      </w:tblGrid>
      <w:tr w:rsidR="00C146AE" w14:paraId="7C864418" w14:textId="67A03162" w:rsidTr="00C146AE">
        <w:trPr>
          <w:trHeight w:val="471"/>
        </w:trPr>
        <w:tc>
          <w:tcPr>
            <w:tcW w:w="2405" w:type="dxa"/>
          </w:tcPr>
          <w:p w14:paraId="1C8746D0" w14:textId="69812540" w:rsidR="00C146AE" w:rsidRPr="001A0A23" w:rsidRDefault="00C146AE" w:rsidP="001A0A23">
            <w:pPr>
              <w:jc w:val="center"/>
              <w:rPr>
                <w:rFonts w:ascii="Times New Roman" w:hAnsi="Times New Roman" w:cs="Times New Roman"/>
                <w:b/>
                <w:bCs/>
                <w:noProof w:val="0"/>
                <w:sz w:val="24"/>
                <w:szCs w:val="24"/>
              </w:rPr>
            </w:pPr>
            <w:r w:rsidRPr="001A0A23">
              <w:rPr>
                <w:rFonts w:ascii="Times New Roman" w:hAnsi="Times New Roman" w:cs="Times New Roman"/>
                <w:b/>
                <w:bCs/>
                <w:sz w:val="24"/>
                <w:szCs w:val="24"/>
              </w:rPr>
              <w:t>Fertilizer Preference</w:t>
            </w:r>
          </w:p>
        </w:tc>
        <w:tc>
          <w:tcPr>
            <w:tcW w:w="2982" w:type="dxa"/>
          </w:tcPr>
          <w:p w14:paraId="0CB450A3" w14:textId="5BFF1F07" w:rsidR="00C146AE" w:rsidRPr="001A0A23" w:rsidRDefault="00C146AE" w:rsidP="001A0A23">
            <w:pPr>
              <w:spacing w:line="480" w:lineRule="auto"/>
              <w:jc w:val="center"/>
              <w:rPr>
                <w:rFonts w:ascii="Times New Roman" w:hAnsi="Times New Roman" w:cs="Times New Roman"/>
                <w:b/>
                <w:bCs/>
                <w:sz w:val="24"/>
                <w:szCs w:val="24"/>
              </w:rPr>
            </w:pPr>
            <w:r w:rsidRPr="001A0A23">
              <w:rPr>
                <w:rFonts w:ascii="Times New Roman" w:hAnsi="Times New Roman" w:cs="Times New Roman"/>
                <w:b/>
                <w:bCs/>
                <w:sz w:val="24"/>
                <w:szCs w:val="24"/>
              </w:rPr>
              <w:t>Total No. of. Respondents</w:t>
            </w:r>
          </w:p>
        </w:tc>
      </w:tr>
      <w:tr w:rsidR="00C146AE" w14:paraId="5EF17B71" w14:textId="4248AD5B" w:rsidTr="00C146AE">
        <w:tc>
          <w:tcPr>
            <w:tcW w:w="2405" w:type="dxa"/>
          </w:tcPr>
          <w:p w14:paraId="45EF467A" w14:textId="7E552A4C" w:rsidR="00C146AE" w:rsidRPr="001A0A23" w:rsidRDefault="00C146AE" w:rsidP="001A0A23">
            <w:pPr>
              <w:spacing w:line="480" w:lineRule="auto"/>
              <w:jc w:val="center"/>
              <w:rPr>
                <w:rFonts w:ascii="Times New Roman" w:hAnsi="Times New Roman" w:cs="Times New Roman"/>
                <w:sz w:val="24"/>
                <w:szCs w:val="24"/>
              </w:rPr>
            </w:pPr>
            <w:r w:rsidRPr="001A0A23">
              <w:rPr>
                <w:rFonts w:ascii="Times New Roman" w:hAnsi="Times New Roman" w:cs="Times New Roman"/>
                <w:sz w:val="24"/>
                <w:szCs w:val="24"/>
              </w:rPr>
              <w:t>Organic</w:t>
            </w:r>
          </w:p>
        </w:tc>
        <w:tc>
          <w:tcPr>
            <w:tcW w:w="2982" w:type="dxa"/>
          </w:tcPr>
          <w:p w14:paraId="076F969B" w14:textId="28A8B15E" w:rsidR="00C146AE" w:rsidRPr="001A0A23" w:rsidRDefault="00C146AE" w:rsidP="001A0A23">
            <w:pPr>
              <w:spacing w:line="480" w:lineRule="auto"/>
              <w:jc w:val="center"/>
              <w:rPr>
                <w:rFonts w:ascii="Times New Roman" w:hAnsi="Times New Roman" w:cs="Times New Roman"/>
                <w:sz w:val="24"/>
                <w:szCs w:val="24"/>
              </w:rPr>
            </w:pPr>
            <w:r w:rsidRPr="001A0A23">
              <w:rPr>
                <w:rFonts w:ascii="Times New Roman" w:hAnsi="Times New Roman" w:cs="Times New Roman"/>
                <w:sz w:val="24"/>
                <w:szCs w:val="24"/>
              </w:rPr>
              <w:t>60</w:t>
            </w:r>
          </w:p>
        </w:tc>
      </w:tr>
      <w:tr w:rsidR="00C146AE" w14:paraId="4111D90E" w14:textId="33EA3FFD" w:rsidTr="00C146AE">
        <w:tc>
          <w:tcPr>
            <w:tcW w:w="2405" w:type="dxa"/>
          </w:tcPr>
          <w:p w14:paraId="711994A9" w14:textId="3E49F91A" w:rsidR="00C146AE" w:rsidRPr="001A0A23" w:rsidRDefault="00C146AE" w:rsidP="001A0A23">
            <w:pPr>
              <w:spacing w:line="480" w:lineRule="auto"/>
              <w:jc w:val="center"/>
              <w:rPr>
                <w:rFonts w:ascii="Times New Roman" w:hAnsi="Times New Roman" w:cs="Times New Roman"/>
                <w:sz w:val="24"/>
                <w:szCs w:val="24"/>
              </w:rPr>
            </w:pPr>
            <w:r w:rsidRPr="001A0A23">
              <w:rPr>
                <w:rFonts w:ascii="Times New Roman" w:hAnsi="Times New Roman" w:cs="Times New Roman"/>
                <w:sz w:val="24"/>
                <w:szCs w:val="24"/>
              </w:rPr>
              <w:t>In Organic</w:t>
            </w:r>
          </w:p>
        </w:tc>
        <w:tc>
          <w:tcPr>
            <w:tcW w:w="2982" w:type="dxa"/>
          </w:tcPr>
          <w:p w14:paraId="7D6905D6" w14:textId="0611AEEE" w:rsidR="00C146AE" w:rsidRPr="001A0A23" w:rsidRDefault="00C146AE" w:rsidP="001A0A23">
            <w:pPr>
              <w:spacing w:line="480" w:lineRule="auto"/>
              <w:jc w:val="center"/>
              <w:rPr>
                <w:rFonts w:ascii="Times New Roman" w:hAnsi="Times New Roman" w:cs="Times New Roman"/>
                <w:sz w:val="24"/>
                <w:szCs w:val="24"/>
              </w:rPr>
            </w:pPr>
            <w:r w:rsidRPr="001A0A23">
              <w:rPr>
                <w:rFonts w:ascii="Times New Roman" w:hAnsi="Times New Roman" w:cs="Times New Roman"/>
                <w:sz w:val="24"/>
                <w:szCs w:val="24"/>
              </w:rPr>
              <w:t>0</w:t>
            </w:r>
          </w:p>
        </w:tc>
      </w:tr>
    </w:tbl>
    <w:p w14:paraId="29AE14A6" w14:textId="0A62356F" w:rsidR="003B7CCE" w:rsidRPr="00305035" w:rsidRDefault="003B7CCE" w:rsidP="003B7CCE">
      <w:pPr>
        <w:pStyle w:val="Caption"/>
        <w:framePr w:w="4885" w:h="409" w:hRule="exact" w:hSpace="180" w:wrap="around" w:vAnchor="text" w:hAnchor="page" w:x="1609" w:y="694"/>
        <w:jc w:val="center"/>
        <w:rPr>
          <w:rFonts w:ascii="Times New Roman" w:hAnsi="Times New Roman" w:cs="Times New Roman"/>
          <w:sz w:val="24"/>
          <w:szCs w:val="24"/>
        </w:rPr>
      </w:pPr>
      <w:r w:rsidRPr="00305035">
        <w:rPr>
          <w:rFonts w:ascii="Times New Roman" w:hAnsi="Times New Roman" w:cs="Times New Roman"/>
          <w:b/>
          <w:bCs/>
          <w:color w:val="auto"/>
          <w:sz w:val="24"/>
          <w:szCs w:val="24"/>
        </w:rPr>
        <w:t xml:space="preserve">Table </w:t>
      </w:r>
      <w:r>
        <w:rPr>
          <w:rFonts w:ascii="Times New Roman" w:hAnsi="Times New Roman" w:cs="Times New Roman"/>
          <w:b/>
          <w:bCs/>
          <w:color w:val="auto"/>
          <w:sz w:val="24"/>
          <w:szCs w:val="24"/>
        </w:rPr>
        <w:t xml:space="preserve">9 </w:t>
      </w:r>
      <w:r w:rsidRPr="00305035">
        <w:rPr>
          <w:rFonts w:ascii="Times New Roman" w:hAnsi="Times New Roman" w:cs="Times New Roman"/>
          <w:b/>
          <w:bCs/>
          <w:color w:val="auto"/>
          <w:sz w:val="24"/>
          <w:szCs w:val="24"/>
        </w:rPr>
        <w:t>–</w:t>
      </w:r>
      <w:r>
        <w:rPr>
          <w:rFonts w:ascii="Times New Roman" w:hAnsi="Times New Roman" w:cs="Times New Roman"/>
          <w:b/>
          <w:bCs/>
          <w:color w:val="auto"/>
          <w:sz w:val="24"/>
          <w:szCs w:val="24"/>
        </w:rPr>
        <w:t xml:space="preserve"> Fertilizer Preference by </w:t>
      </w:r>
      <w:r w:rsidRPr="006D365C">
        <w:rPr>
          <w:rFonts w:ascii="Times New Roman" w:hAnsi="Times New Roman" w:cs="Times New Roman"/>
          <w:b/>
          <w:bCs/>
          <w:color w:val="auto"/>
          <w:sz w:val="24"/>
          <w:szCs w:val="24"/>
        </w:rPr>
        <w:t>Respondents</w:t>
      </w:r>
      <w:r w:rsidRPr="00305035">
        <w:rPr>
          <w:rFonts w:ascii="Times New Roman" w:hAnsi="Times New Roman" w:cs="Times New Roman"/>
          <w:sz w:val="24"/>
          <w:szCs w:val="24"/>
        </w:rPr>
        <w:br w:type="textWrapping" w:clear="all"/>
      </w:r>
    </w:p>
    <w:tbl>
      <w:tblPr>
        <w:tblStyle w:val="TableGrid"/>
        <w:tblW w:w="0" w:type="auto"/>
        <w:tblInd w:w="-5" w:type="dxa"/>
        <w:tblLook w:val="04A0" w:firstRow="1" w:lastRow="0" w:firstColumn="1" w:lastColumn="0" w:noHBand="0" w:noVBand="1"/>
      </w:tblPr>
      <w:tblGrid>
        <w:gridCol w:w="2405"/>
        <w:gridCol w:w="2982"/>
      </w:tblGrid>
      <w:tr w:rsidR="00C146AE" w14:paraId="3536C974" w14:textId="27692AA9" w:rsidTr="00C146AE">
        <w:tc>
          <w:tcPr>
            <w:tcW w:w="2405" w:type="dxa"/>
          </w:tcPr>
          <w:p w14:paraId="64C0C0BB" w14:textId="32F3FF94" w:rsidR="00C146AE" w:rsidRPr="009E3179" w:rsidRDefault="00C146AE" w:rsidP="001A0A23">
            <w:pPr>
              <w:spacing w:line="480" w:lineRule="auto"/>
              <w:jc w:val="center"/>
              <w:rPr>
                <w:rFonts w:ascii="Times New Roman" w:hAnsi="Times New Roman" w:cs="Times New Roman"/>
                <w:b/>
                <w:bCs/>
                <w:sz w:val="24"/>
                <w:szCs w:val="24"/>
              </w:rPr>
            </w:pPr>
            <w:r w:rsidRPr="009E3179">
              <w:rPr>
                <w:rFonts w:ascii="Times New Roman" w:hAnsi="Times New Roman" w:cs="Times New Roman"/>
                <w:b/>
                <w:bCs/>
                <w:sz w:val="24"/>
                <w:szCs w:val="24"/>
              </w:rPr>
              <w:t>Total</w:t>
            </w:r>
          </w:p>
        </w:tc>
        <w:tc>
          <w:tcPr>
            <w:tcW w:w="2982" w:type="dxa"/>
          </w:tcPr>
          <w:p w14:paraId="51AEAD2F" w14:textId="4E18E226" w:rsidR="00C146AE" w:rsidRPr="009E3179" w:rsidRDefault="00C146AE" w:rsidP="001A0A23">
            <w:pPr>
              <w:spacing w:line="480" w:lineRule="auto"/>
              <w:jc w:val="center"/>
              <w:rPr>
                <w:rFonts w:ascii="Times New Roman" w:hAnsi="Times New Roman" w:cs="Times New Roman"/>
                <w:b/>
                <w:bCs/>
                <w:sz w:val="24"/>
                <w:szCs w:val="24"/>
              </w:rPr>
            </w:pPr>
            <w:r w:rsidRPr="009E3179">
              <w:rPr>
                <w:rFonts w:ascii="Times New Roman" w:hAnsi="Times New Roman" w:cs="Times New Roman"/>
                <w:b/>
                <w:bCs/>
                <w:sz w:val="24"/>
                <w:szCs w:val="24"/>
              </w:rPr>
              <w:t>60</w:t>
            </w:r>
          </w:p>
        </w:tc>
      </w:tr>
    </w:tbl>
    <w:p w14:paraId="1E0A5590" w14:textId="37DE9B95" w:rsidR="00EB1532" w:rsidRPr="00CB43E9" w:rsidRDefault="003B7CCE" w:rsidP="003B7CCE">
      <w:pPr>
        <w:tabs>
          <w:tab w:val="left" w:pos="1032"/>
        </w:tabs>
        <w:spacing w:line="480" w:lineRule="auto"/>
        <w:jc w:val="both"/>
        <w:rPr>
          <w:rFonts w:ascii="Times New Roman" w:hAnsi="Times New Roman" w:cs="Times New Roman"/>
          <w:sz w:val="24"/>
          <w:szCs w:val="24"/>
        </w:rPr>
      </w:pPr>
      <w:r w:rsidRPr="00305035">
        <mc:AlternateContent>
          <mc:Choice Requires="wps">
            <w:drawing>
              <wp:anchor distT="0" distB="0" distL="114300" distR="114300" simplePos="0" relativeHeight="251687936" behindDoc="1" locked="0" layoutInCell="1" allowOverlap="1" wp14:anchorId="72037792" wp14:editId="29FE3F1C">
                <wp:simplePos x="0" y="0"/>
                <wp:positionH relativeFrom="column">
                  <wp:posOffset>3459480</wp:posOffset>
                </wp:positionH>
                <wp:positionV relativeFrom="paragraph">
                  <wp:posOffset>84455</wp:posOffset>
                </wp:positionV>
                <wp:extent cx="2804160" cy="381000"/>
                <wp:effectExtent l="0" t="0" r="0" b="0"/>
                <wp:wrapNone/>
                <wp:docPr id="1596597729" name="Text Box 1"/>
                <wp:cNvGraphicFramePr/>
                <a:graphic xmlns:a="http://schemas.openxmlformats.org/drawingml/2006/main">
                  <a:graphicData uri="http://schemas.microsoft.com/office/word/2010/wordprocessingShape">
                    <wps:wsp>
                      <wps:cNvSpPr txBox="1"/>
                      <wps:spPr>
                        <a:xfrm>
                          <a:off x="0" y="0"/>
                          <a:ext cx="2804160" cy="381000"/>
                        </a:xfrm>
                        <a:prstGeom prst="rect">
                          <a:avLst/>
                        </a:prstGeom>
                        <a:solidFill>
                          <a:prstClr val="white"/>
                        </a:solidFill>
                        <a:ln>
                          <a:noFill/>
                        </a:ln>
                      </wps:spPr>
                      <wps:txbx>
                        <w:txbxContent>
                          <w:p w14:paraId="6E5944AB" w14:textId="1BE17AEC" w:rsidR="003B7CCE" w:rsidRPr="00305035" w:rsidRDefault="003B7CCE" w:rsidP="003B7CCE">
                            <w:pPr>
                              <w:pStyle w:val="Caption"/>
                              <w:jc w:val="center"/>
                              <w:rPr>
                                <w:rFonts w:ascii="Times New Roman" w:hAnsi="Times New Roman" w:cs="Times New Roman"/>
                                <w:b/>
                                <w:bCs/>
                                <w:color w:val="auto"/>
                                <w:sz w:val="24"/>
                                <w:szCs w:val="24"/>
                              </w:rPr>
                            </w:pPr>
                            <w:r w:rsidRPr="00305035">
                              <w:rPr>
                                <w:rFonts w:ascii="Times New Roman" w:hAnsi="Times New Roman" w:cs="Times New Roman"/>
                                <w:b/>
                                <w:bCs/>
                                <w:color w:val="auto"/>
                                <w:sz w:val="24"/>
                                <w:szCs w:val="24"/>
                              </w:rPr>
                              <w:t>Figure</w:t>
                            </w:r>
                            <w:r w:rsidR="001C6FE2">
                              <w:rPr>
                                <w:rFonts w:ascii="Times New Roman" w:hAnsi="Times New Roman" w:cs="Times New Roman"/>
                                <w:b/>
                                <w:bCs/>
                                <w:color w:val="auto"/>
                                <w:sz w:val="24"/>
                                <w:szCs w:val="24"/>
                              </w:rPr>
                              <w:t xml:space="preserve"> 9</w:t>
                            </w:r>
                            <w:r w:rsidRPr="00305035">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 xml:space="preserve"> </w:t>
                            </w:r>
                            <w:r w:rsidRPr="006B789E">
                              <w:rPr>
                                <w:rFonts w:ascii="Times New Roman" w:hAnsi="Times New Roman" w:cs="Times New Roman"/>
                                <w:b/>
                                <w:bCs/>
                                <w:color w:val="auto"/>
                                <w:sz w:val="24"/>
                                <w:szCs w:val="24"/>
                              </w:rPr>
                              <w:t xml:space="preserve">Fertilizer </w:t>
                            </w:r>
                            <w:r>
                              <w:rPr>
                                <w:rFonts w:ascii="Times New Roman" w:hAnsi="Times New Roman" w:cs="Times New Roman"/>
                                <w:b/>
                                <w:bCs/>
                                <w:color w:val="auto"/>
                                <w:sz w:val="24"/>
                                <w:szCs w:val="24"/>
                              </w:rPr>
                              <w:t>Preference</w:t>
                            </w:r>
                            <w:r w:rsidRPr="006B789E">
                              <w:rPr>
                                <w:rFonts w:ascii="Times New Roman" w:hAnsi="Times New Roman" w:cs="Times New Roman"/>
                                <w:b/>
                                <w:bCs/>
                                <w:color w:val="auto"/>
                                <w:sz w:val="24"/>
                                <w:szCs w:val="24"/>
                              </w:rPr>
                              <w:t xml:space="preserve"> Among Respondents</w:t>
                            </w:r>
                            <w:r w:rsidR="00143F93">
                              <w:rPr>
                                <w:rFonts w:ascii="Times New Roman" w:hAnsi="Times New Roman" w:cs="Times New Roman"/>
                                <w:b/>
                                <w:bCs/>
                                <w:color w:val="auto"/>
                                <w:sz w:val="24"/>
                                <w:szCs w:val="24"/>
                              </w:rPr>
                              <w:t xml:space="preserve"> in %</w:t>
                            </w:r>
                          </w:p>
                          <w:p w14:paraId="71AC4F4D" w14:textId="77777777" w:rsidR="003B7CCE" w:rsidRPr="00305035" w:rsidRDefault="003B7CCE" w:rsidP="003B7CCE"/>
                          <w:p w14:paraId="7A6B2E7C" w14:textId="77777777" w:rsidR="003B7CCE" w:rsidRPr="00305035" w:rsidRDefault="003B7CCE" w:rsidP="003B7CC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37792" id="_x0000_s1035" type="#_x0000_t202" style="position:absolute;left:0;text-align:left;margin-left:272.4pt;margin-top:6.65pt;width:220.8pt;height:30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" stroked="f">
                <v:textbox inset="0,0,0,0">
                  <w:txbxContent>
                    <w:p w14:paraId="6E5944AB" w14:textId="1BE17AEC" w:rsidR="003B7CCE" w:rsidRPr="00305035" w:rsidRDefault="003B7CCE" w:rsidP="003B7CCE">
                      <w:pPr>
                        <w:pStyle w:val="Caption"/>
                        <w:jc w:val="center"/>
                        <w:rPr>
                          <w:rFonts w:ascii="Times New Roman" w:hAnsi="Times New Roman" w:cs="Times New Roman"/>
                          <w:b/>
                          <w:bCs/>
                          <w:color w:val="auto"/>
                          <w:sz w:val="24"/>
                          <w:szCs w:val="24"/>
                        </w:rPr>
                      </w:pPr>
                      <w:r w:rsidRPr="00305035">
                        <w:rPr>
                          <w:rFonts w:ascii="Times New Roman" w:hAnsi="Times New Roman" w:cs="Times New Roman"/>
                          <w:b/>
                          <w:bCs/>
                          <w:color w:val="auto"/>
                          <w:sz w:val="24"/>
                          <w:szCs w:val="24"/>
                        </w:rPr>
                        <w:t>Figure</w:t>
                      </w:r>
                      <w:r w:rsidR="001C6FE2">
                        <w:rPr>
                          <w:rFonts w:ascii="Times New Roman" w:hAnsi="Times New Roman" w:cs="Times New Roman"/>
                          <w:b/>
                          <w:bCs/>
                          <w:color w:val="auto"/>
                          <w:sz w:val="24"/>
                          <w:szCs w:val="24"/>
                        </w:rPr>
                        <w:t xml:space="preserve"> 9</w:t>
                      </w:r>
                      <w:r w:rsidRPr="00305035">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 xml:space="preserve"> </w:t>
                      </w:r>
                      <w:r w:rsidRPr="006B789E">
                        <w:rPr>
                          <w:rFonts w:ascii="Times New Roman" w:hAnsi="Times New Roman" w:cs="Times New Roman"/>
                          <w:b/>
                          <w:bCs/>
                          <w:color w:val="auto"/>
                          <w:sz w:val="24"/>
                          <w:szCs w:val="24"/>
                        </w:rPr>
                        <w:t xml:space="preserve">Fertilizer </w:t>
                      </w:r>
                      <w:r>
                        <w:rPr>
                          <w:rFonts w:ascii="Times New Roman" w:hAnsi="Times New Roman" w:cs="Times New Roman"/>
                          <w:b/>
                          <w:bCs/>
                          <w:color w:val="auto"/>
                          <w:sz w:val="24"/>
                          <w:szCs w:val="24"/>
                        </w:rPr>
                        <w:t>Preference</w:t>
                      </w:r>
                      <w:r w:rsidRPr="006B789E">
                        <w:rPr>
                          <w:rFonts w:ascii="Times New Roman" w:hAnsi="Times New Roman" w:cs="Times New Roman"/>
                          <w:b/>
                          <w:bCs/>
                          <w:color w:val="auto"/>
                          <w:sz w:val="24"/>
                          <w:szCs w:val="24"/>
                        </w:rPr>
                        <w:t xml:space="preserve"> Among Respondents</w:t>
                      </w:r>
                      <w:r w:rsidR="00143F93">
                        <w:rPr>
                          <w:rFonts w:ascii="Times New Roman" w:hAnsi="Times New Roman" w:cs="Times New Roman"/>
                          <w:b/>
                          <w:bCs/>
                          <w:color w:val="auto"/>
                          <w:sz w:val="24"/>
                          <w:szCs w:val="24"/>
                        </w:rPr>
                        <w:t xml:space="preserve"> in %</w:t>
                      </w:r>
                    </w:p>
                    <w:p w14:paraId="71AC4F4D" w14:textId="77777777" w:rsidR="003B7CCE" w:rsidRPr="00305035" w:rsidRDefault="003B7CCE" w:rsidP="003B7CCE"/>
                    <w:p w14:paraId="7A6B2E7C" w14:textId="77777777" w:rsidR="003B7CCE" w:rsidRPr="00305035" w:rsidRDefault="003B7CCE" w:rsidP="003B7CCE"/>
                  </w:txbxContent>
                </v:textbox>
              </v:shape>
            </w:pict>
          </mc:Fallback>
        </mc:AlternateContent>
      </w:r>
      <w:r>
        <w:rPr>
          <w:rFonts w:ascii="Times New Roman" w:hAnsi="Times New Roman" w:cs="Times New Roman"/>
          <w:sz w:val="24"/>
          <w:szCs w:val="24"/>
        </w:rPr>
        <w:tab/>
      </w:r>
    </w:p>
    <w:p w14:paraId="091A8903" w14:textId="3DF8C3A4" w:rsidR="000A5B21" w:rsidRDefault="00614D07" w:rsidP="00DA7310">
      <w:pPr>
        <w:spacing w:line="480" w:lineRule="auto"/>
        <w:jc w:val="both"/>
        <w:rPr>
          <w:rFonts w:ascii="Times New Roman" w:hAnsi="Times New Roman" w:cs="Times New Roman"/>
          <w:sz w:val="24"/>
          <w:szCs w:val="24"/>
        </w:rPr>
      </w:pPr>
      <w:r w:rsidRPr="00614D07">
        <w:rPr>
          <w:rFonts w:ascii="Times New Roman" w:hAnsi="Times New Roman" w:cs="Times New Roman"/>
          <w:b/>
          <w:bCs/>
          <w:sz w:val="24"/>
          <w:szCs w:val="24"/>
        </w:rPr>
        <w:lastRenderedPageBreak/>
        <w:t>Discussion:</w:t>
      </w:r>
      <w:r w:rsidRPr="00614D07">
        <w:rPr>
          <w:rFonts w:ascii="Times New Roman" w:hAnsi="Times New Roman" w:cs="Times New Roman"/>
          <w:sz w:val="24"/>
          <w:szCs w:val="24"/>
        </w:rPr>
        <w:br/>
        <w:t>The results show a strong and unanimous inclination toward organic fertilizers. None of the respondents expressed preference for inorganic fertilizers, indicating a complete shift in attitude toward sustainable and eco-friendly farming practices. This finding highlights the growing acceptance of organic farming methods in the surveyed population.</w:t>
      </w:r>
    </w:p>
    <w:p w14:paraId="74F2FC29" w14:textId="1461C98C" w:rsidR="00CC4B1D" w:rsidRPr="00CC4B1D" w:rsidRDefault="00876689" w:rsidP="00CC4B1D">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4.10. </w:t>
      </w:r>
      <w:r w:rsidR="00CC4B1D" w:rsidRPr="00CC4B1D">
        <w:rPr>
          <w:rFonts w:ascii="Times New Roman" w:hAnsi="Times New Roman" w:cs="Times New Roman"/>
          <w:b/>
          <w:bCs/>
          <w:sz w:val="24"/>
          <w:szCs w:val="24"/>
        </w:rPr>
        <w:t>Manure Type Preference</w:t>
      </w:r>
    </w:p>
    <w:tbl>
      <w:tblPr>
        <w:tblStyle w:val="TableGrid"/>
        <w:tblpPr w:leftFromText="180" w:rightFromText="180" w:vertAnchor="text" w:horzAnchor="margin" w:tblpY="1026"/>
        <w:tblW w:w="0" w:type="auto"/>
        <w:tblLook w:val="04A0" w:firstRow="1" w:lastRow="0" w:firstColumn="1" w:lastColumn="0" w:noHBand="0" w:noVBand="1"/>
      </w:tblPr>
      <w:tblGrid>
        <w:gridCol w:w="2035"/>
        <w:gridCol w:w="2545"/>
      </w:tblGrid>
      <w:tr w:rsidR="00317F3A" w14:paraId="4620B66D" w14:textId="77777777" w:rsidTr="00317F3A">
        <w:trPr>
          <w:trHeight w:val="636"/>
        </w:trPr>
        <w:tc>
          <w:tcPr>
            <w:tcW w:w="2035" w:type="dxa"/>
          </w:tcPr>
          <w:p w14:paraId="61E6463B" w14:textId="77777777" w:rsidR="00317F3A" w:rsidRPr="001A0A23" w:rsidRDefault="00317F3A" w:rsidP="00317F3A">
            <w:pPr>
              <w:jc w:val="center"/>
              <w:rPr>
                <w:rFonts w:ascii="Times New Roman" w:hAnsi="Times New Roman" w:cs="Times New Roman"/>
                <w:b/>
                <w:bCs/>
                <w:noProof w:val="0"/>
                <w:sz w:val="24"/>
                <w:szCs w:val="24"/>
              </w:rPr>
            </w:pPr>
            <w:r>
              <w:rPr>
                <w:rFonts w:ascii="Times New Roman" w:hAnsi="Times New Roman" w:cs="Times New Roman"/>
                <w:b/>
                <w:bCs/>
                <w:sz w:val="24"/>
                <w:szCs w:val="24"/>
              </w:rPr>
              <w:t>Manure</w:t>
            </w:r>
            <w:r w:rsidRPr="001A0A23">
              <w:rPr>
                <w:rFonts w:ascii="Times New Roman" w:hAnsi="Times New Roman" w:cs="Times New Roman"/>
                <w:b/>
                <w:bCs/>
                <w:sz w:val="24"/>
                <w:szCs w:val="24"/>
              </w:rPr>
              <w:t xml:space="preserve"> Preference</w:t>
            </w:r>
          </w:p>
        </w:tc>
        <w:tc>
          <w:tcPr>
            <w:tcW w:w="2545" w:type="dxa"/>
          </w:tcPr>
          <w:p w14:paraId="5A212F4E" w14:textId="77777777" w:rsidR="00317F3A" w:rsidRPr="001A0A23" w:rsidRDefault="00317F3A" w:rsidP="00317F3A">
            <w:pPr>
              <w:spacing w:line="480" w:lineRule="auto"/>
              <w:jc w:val="center"/>
              <w:rPr>
                <w:rFonts w:ascii="Times New Roman" w:hAnsi="Times New Roman" w:cs="Times New Roman"/>
                <w:b/>
                <w:bCs/>
                <w:sz w:val="24"/>
                <w:szCs w:val="24"/>
              </w:rPr>
            </w:pPr>
            <w:r w:rsidRPr="001A0A23">
              <w:rPr>
                <w:rFonts w:ascii="Times New Roman" w:hAnsi="Times New Roman" w:cs="Times New Roman"/>
                <w:b/>
                <w:bCs/>
                <w:sz w:val="24"/>
                <w:szCs w:val="24"/>
              </w:rPr>
              <w:t>Total No. of. Respondents</w:t>
            </w:r>
          </w:p>
        </w:tc>
      </w:tr>
      <w:tr w:rsidR="00317F3A" w14:paraId="2F2809F6" w14:textId="77777777" w:rsidTr="00317F3A">
        <w:trPr>
          <w:trHeight w:val="747"/>
        </w:trPr>
        <w:tc>
          <w:tcPr>
            <w:tcW w:w="2035" w:type="dxa"/>
          </w:tcPr>
          <w:p w14:paraId="70034D6F" w14:textId="77777777" w:rsidR="00317F3A" w:rsidRPr="001A0A23" w:rsidRDefault="00317F3A" w:rsidP="00317F3A">
            <w:pPr>
              <w:spacing w:line="480" w:lineRule="auto"/>
              <w:jc w:val="center"/>
              <w:rPr>
                <w:rFonts w:ascii="Times New Roman" w:hAnsi="Times New Roman" w:cs="Times New Roman"/>
                <w:sz w:val="24"/>
                <w:szCs w:val="24"/>
              </w:rPr>
            </w:pPr>
            <w:r>
              <w:rPr>
                <w:rFonts w:ascii="Times New Roman" w:hAnsi="Times New Roman" w:cs="Times New Roman"/>
                <w:sz w:val="24"/>
                <w:szCs w:val="24"/>
              </w:rPr>
              <w:t>Concentrated</w:t>
            </w:r>
          </w:p>
        </w:tc>
        <w:tc>
          <w:tcPr>
            <w:tcW w:w="2545" w:type="dxa"/>
          </w:tcPr>
          <w:p w14:paraId="49BE935C" w14:textId="77777777" w:rsidR="00317F3A" w:rsidRPr="001A0A23" w:rsidRDefault="00317F3A" w:rsidP="00317F3A">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317F3A" w14:paraId="1601861A" w14:textId="77777777" w:rsidTr="00317F3A">
        <w:trPr>
          <w:trHeight w:val="730"/>
        </w:trPr>
        <w:tc>
          <w:tcPr>
            <w:tcW w:w="2035" w:type="dxa"/>
          </w:tcPr>
          <w:p w14:paraId="2E12FE88" w14:textId="77777777" w:rsidR="00317F3A" w:rsidRPr="001A0A23" w:rsidRDefault="00317F3A" w:rsidP="00317F3A">
            <w:pPr>
              <w:spacing w:line="480" w:lineRule="auto"/>
              <w:jc w:val="center"/>
              <w:rPr>
                <w:rFonts w:ascii="Times New Roman" w:hAnsi="Times New Roman" w:cs="Times New Roman"/>
                <w:sz w:val="24"/>
                <w:szCs w:val="24"/>
              </w:rPr>
            </w:pPr>
            <w:r>
              <w:rPr>
                <w:rFonts w:ascii="Times New Roman" w:hAnsi="Times New Roman" w:cs="Times New Roman"/>
                <w:sz w:val="24"/>
                <w:szCs w:val="24"/>
              </w:rPr>
              <w:t>Bulky</w:t>
            </w:r>
          </w:p>
        </w:tc>
        <w:tc>
          <w:tcPr>
            <w:tcW w:w="2545" w:type="dxa"/>
          </w:tcPr>
          <w:p w14:paraId="29BB6AEB" w14:textId="77777777" w:rsidR="00317F3A" w:rsidRPr="001A0A23" w:rsidRDefault="00317F3A" w:rsidP="00317F3A">
            <w:pPr>
              <w:spacing w:line="480" w:lineRule="auto"/>
              <w:jc w:val="center"/>
              <w:rPr>
                <w:rFonts w:ascii="Times New Roman" w:hAnsi="Times New Roman" w:cs="Times New Roman"/>
                <w:sz w:val="24"/>
                <w:szCs w:val="24"/>
              </w:rPr>
            </w:pPr>
            <w:r>
              <w:rPr>
                <w:rFonts w:ascii="Times New Roman" w:hAnsi="Times New Roman" w:cs="Times New Roman"/>
                <w:sz w:val="24"/>
                <w:szCs w:val="24"/>
              </w:rPr>
              <w:t>58</w:t>
            </w:r>
          </w:p>
        </w:tc>
      </w:tr>
    </w:tbl>
    <w:p w14:paraId="28C094ED" w14:textId="4DE348E4" w:rsidR="00CC4B1D" w:rsidRPr="00CC4B1D" w:rsidRDefault="00317F3A" w:rsidP="00CC4B1D">
      <w:pPr>
        <w:spacing w:line="480" w:lineRule="auto"/>
        <w:jc w:val="both"/>
        <w:rPr>
          <w:rFonts w:ascii="Times New Roman" w:hAnsi="Times New Roman" w:cs="Times New Roman"/>
          <w:sz w:val="24"/>
          <w:szCs w:val="24"/>
        </w:rPr>
      </w:pPr>
      <w:r w:rsidRPr="00305035">
        <w:rPr>
          <w:rFonts w:ascii="Times New Roman" w:hAnsi="Times New Roman" w:cs="Times New Roman"/>
          <w:sz w:val="24"/>
          <w:szCs w:val="24"/>
        </w:rPr>
        <w:drawing>
          <wp:anchor distT="0" distB="0" distL="114300" distR="114300" simplePos="0" relativeHeight="251689984" behindDoc="1" locked="0" layoutInCell="1" allowOverlap="1" wp14:anchorId="619395F9" wp14:editId="4218A8C6">
            <wp:simplePos x="0" y="0"/>
            <wp:positionH relativeFrom="margin">
              <wp:posOffset>3009900</wp:posOffset>
            </wp:positionH>
            <wp:positionV relativeFrom="paragraph">
              <wp:posOffset>589280</wp:posOffset>
            </wp:positionV>
            <wp:extent cx="2987040" cy="1844040"/>
            <wp:effectExtent l="0" t="0" r="3810" b="3810"/>
            <wp:wrapNone/>
            <wp:docPr id="1338485913"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CC4B1D" w:rsidRPr="00CC4B1D">
        <w:rPr>
          <w:rFonts w:ascii="Times New Roman" w:hAnsi="Times New Roman" w:cs="Times New Roman"/>
          <w:sz w:val="24"/>
          <w:szCs w:val="24"/>
        </w:rPr>
        <w:t xml:space="preserve">The survey assessed farmers </w:t>
      </w:r>
      <w:r w:rsidR="00780626">
        <w:rPr>
          <w:rFonts w:ascii="Times New Roman" w:hAnsi="Times New Roman" w:cs="Times New Roman"/>
          <w:sz w:val="24"/>
          <w:szCs w:val="24"/>
        </w:rPr>
        <w:t>preferences</w:t>
      </w:r>
      <w:r w:rsidR="00CC4B1D" w:rsidRPr="00CC4B1D">
        <w:rPr>
          <w:rFonts w:ascii="Times New Roman" w:hAnsi="Times New Roman" w:cs="Times New Roman"/>
          <w:sz w:val="24"/>
          <w:szCs w:val="24"/>
        </w:rPr>
        <w:t xml:space="preserve"> between concentrated and bulky organic manures. The results are summarized</w:t>
      </w:r>
    </w:p>
    <w:p w14:paraId="79EB0220" w14:textId="5000E879" w:rsidR="00143F93" w:rsidRDefault="00143F93" w:rsidP="00DA7310">
      <w:pPr>
        <w:spacing w:line="480" w:lineRule="auto"/>
        <w:jc w:val="both"/>
        <w:rPr>
          <w:rFonts w:ascii="Times New Roman" w:hAnsi="Times New Roman" w:cs="Times New Roman"/>
          <w:sz w:val="24"/>
          <w:szCs w:val="24"/>
        </w:rPr>
      </w:pPr>
    </w:p>
    <w:p w14:paraId="496DB774" w14:textId="26824794" w:rsidR="00392B81" w:rsidRPr="00305035" w:rsidRDefault="00392B81" w:rsidP="00392B81">
      <w:pPr>
        <w:pStyle w:val="Caption"/>
        <w:framePr w:w="4885" w:h="409" w:hRule="exact" w:hSpace="180" w:wrap="around" w:vAnchor="text" w:hAnchor="page" w:x="1165" w:y="2001"/>
        <w:jc w:val="center"/>
        <w:rPr>
          <w:rFonts w:ascii="Times New Roman" w:hAnsi="Times New Roman" w:cs="Times New Roman"/>
          <w:sz w:val="24"/>
          <w:szCs w:val="24"/>
        </w:rPr>
      </w:pPr>
      <w:r w:rsidRPr="00305035">
        <w:rPr>
          <w:rFonts w:ascii="Times New Roman" w:hAnsi="Times New Roman" w:cs="Times New Roman"/>
          <w:b/>
          <w:bCs/>
          <w:color w:val="auto"/>
          <w:sz w:val="24"/>
          <w:szCs w:val="24"/>
        </w:rPr>
        <w:t xml:space="preserve">Table </w:t>
      </w:r>
      <w:r>
        <w:rPr>
          <w:rFonts w:ascii="Times New Roman" w:hAnsi="Times New Roman" w:cs="Times New Roman"/>
          <w:b/>
          <w:bCs/>
          <w:color w:val="auto"/>
          <w:sz w:val="24"/>
          <w:szCs w:val="24"/>
        </w:rPr>
        <w:t xml:space="preserve">10 </w:t>
      </w:r>
      <w:r w:rsidRPr="00305035">
        <w:rPr>
          <w:rFonts w:ascii="Times New Roman" w:hAnsi="Times New Roman" w:cs="Times New Roman"/>
          <w:b/>
          <w:bCs/>
          <w:color w:val="auto"/>
          <w:sz w:val="24"/>
          <w:szCs w:val="24"/>
        </w:rPr>
        <w:t>–</w:t>
      </w:r>
      <w:r>
        <w:rPr>
          <w:rFonts w:ascii="Times New Roman" w:hAnsi="Times New Roman" w:cs="Times New Roman"/>
          <w:b/>
          <w:bCs/>
          <w:color w:val="auto"/>
          <w:sz w:val="24"/>
          <w:szCs w:val="24"/>
        </w:rPr>
        <w:t xml:space="preserve"> Manure Preference by </w:t>
      </w:r>
      <w:r w:rsidRPr="006D365C">
        <w:rPr>
          <w:rFonts w:ascii="Times New Roman" w:hAnsi="Times New Roman" w:cs="Times New Roman"/>
          <w:b/>
          <w:bCs/>
          <w:color w:val="auto"/>
          <w:sz w:val="24"/>
          <w:szCs w:val="24"/>
        </w:rPr>
        <w:t>Respondents</w:t>
      </w:r>
      <w:r w:rsidRPr="00305035">
        <w:rPr>
          <w:rFonts w:ascii="Times New Roman" w:hAnsi="Times New Roman" w:cs="Times New Roman"/>
          <w:sz w:val="24"/>
          <w:szCs w:val="24"/>
        </w:rPr>
        <w:br w:type="textWrapping" w:clear="all"/>
      </w:r>
    </w:p>
    <w:p w14:paraId="1DAA1679" w14:textId="40694551" w:rsidR="00614D07" w:rsidRDefault="00392B81" w:rsidP="00392B81">
      <w:pPr>
        <w:spacing w:line="480" w:lineRule="auto"/>
        <w:jc w:val="both"/>
        <w:rPr>
          <w:rFonts w:ascii="Times New Roman" w:hAnsi="Times New Roman" w:cs="Times New Roman"/>
          <w:sz w:val="24"/>
          <w:szCs w:val="24"/>
        </w:rPr>
      </w:pPr>
      <w:r w:rsidRPr="00305035">
        <mc:AlternateContent>
          <mc:Choice Requires="wps">
            <w:drawing>
              <wp:anchor distT="0" distB="0" distL="114300" distR="114300" simplePos="0" relativeHeight="251692032" behindDoc="1" locked="0" layoutInCell="1" allowOverlap="1" wp14:anchorId="21950FC4" wp14:editId="285419DF">
                <wp:simplePos x="0" y="0"/>
                <wp:positionH relativeFrom="column">
                  <wp:posOffset>3227070</wp:posOffset>
                </wp:positionH>
                <wp:positionV relativeFrom="paragraph">
                  <wp:posOffset>1279525</wp:posOffset>
                </wp:positionV>
                <wp:extent cx="2804160" cy="381000"/>
                <wp:effectExtent l="0" t="0" r="0" b="0"/>
                <wp:wrapNone/>
                <wp:docPr id="835516558" name="Text Box 1"/>
                <wp:cNvGraphicFramePr/>
                <a:graphic xmlns:a="http://schemas.openxmlformats.org/drawingml/2006/main">
                  <a:graphicData uri="http://schemas.microsoft.com/office/word/2010/wordprocessingShape">
                    <wps:wsp>
                      <wps:cNvSpPr txBox="1"/>
                      <wps:spPr>
                        <a:xfrm>
                          <a:off x="0" y="0"/>
                          <a:ext cx="2804160" cy="381000"/>
                        </a:xfrm>
                        <a:prstGeom prst="rect">
                          <a:avLst/>
                        </a:prstGeom>
                        <a:solidFill>
                          <a:prstClr val="white"/>
                        </a:solidFill>
                        <a:ln>
                          <a:noFill/>
                        </a:ln>
                      </wps:spPr>
                      <wps:txbx>
                        <w:txbxContent>
                          <w:p w14:paraId="2ACD0640" w14:textId="3D759089" w:rsidR="00392B81" w:rsidRPr="00305035" w:rsidRDefault="00392B81" w:rsidP="00392B81">
                            <w:pPr>
                              <w:pStyle w:val="Caption"/>
                              <w:jc w:val="center"/>
                              <w:rPr>
                                <w:rFonts w:ascii="Times New Roman" w:hAnsi="Times New Roman" w:cs="Times New Roman"/>
                                <w:b/>
                                <w:bCs/>
                                <w:color w:val="auto"/>
                                <w:sz w:val="24"/>
                                <w:szCs w:val="24"/>
                              </w:rPr>
                            </w:pPr>
                            <w:r w:rsidRPr="00305035">
                              <w:rPr>
                                <w:rFonts w:ascii="Times New Roman" w:hAnsi="Times New Roman" w:cs="Times New Roman"/>
                                <w:b/>
                                <w:bCs/>
                                <w:color w:val="auto"/>
                                <w:sz w:val="24"/>
                                <w:szCs w:val="24"/>
                              </w:rPr>
                              <w:t>Figure</w:t>
                            </w:r>
                            <w:r>
                              <w:rPr>
                                <w:rFonts w:ascii="Times New Roman" w:hAnsi="Times New Roman" w:cs="Times New Roman"/>
                                <w:b/>
                                <w:bCs/>
                                <w:color w:val="auto"/>
                                <w:sz w:val="24"/>
                                <w:szCs w:val="24"/>
                              </w:rPr>
                              <w:t xml:space="preserve"> 10</w:t>
                            </w:r>
                            <w:r w:rsidRPr="00305035">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 xml:space="preserve"> Manure Preference</w:t>
                            </w:r>
                            <w:r w:rsidRPr="006B789E">
                              <w:rPr>
                                <w:rFonts w:ascii="Times New Roman" w:hAnsi="Times New Roman" w:cs="Times New Roman"/>
                                <w:b/>
                                <w:bCs/>
                                <w:color w:val="auto"/>
                                <w:sz w:val="24"/>
                                <w:szCs w:val="24"/>
                              </w:rPr>
                              <w:t xml:space="preserve"> Among Respondents</w:t>
                            </w:r>
                            <w:r>
                              <w:rPr>
                                <w:rFonts w:ascii="Times New Roman" w:hAnsi="Times New Roman" w:cs="Times New Roman"/>
                                <w:b/>
                                <w:bCs/>
                                <w:color w:val="auto"/>
                                <w:sz w:val="24"/>
                                <w:szCs w:val="24"/>
                              </w:rPr>
                              <w:t xml:space="preserve"> in %</w:t>
                            </w:r>
                          </w:p>
                          <w:p w14:paraId="16759B7F" w14:textId="77777777" w:rsidR="00392B81" w:rsidRPr="00305035" w:rsidRDefault="00392B81" w:rsidP="00392B81"/>
                          <w:p w14:paraId="38DB0D3C" w14:textId="77777777" w:rsidR="00392B81" w:rsidRPr="00305035" w:rsidRDefault="00392B81" w:rsidP="00392B8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50FC4" id="_x0000_s1036" type="#_x0000_t202" style="position:absolute;left:0;text-align:left;margin-left:254.1pt;margin-top:100.75pt;width:220.8pt;height:30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" stroked="f">
                <v:textbox inset="0,0,0,0">
                  <w:txbxContent>
                    <w:p w14:paraId="2ACD0640" w14:textId="3D759089" w:rsidR="00392B81" w:rsidRPr="00305035" w:rsidRDefault="00392B81" w:rsidP="00392B81">
                      <w:pPr>
                        <w:pStyle w:val="Caption"/>
                        <w:jc w:val="center"/>
                        <w:rPr>
                          <w:rFonts w:ascii="Times New Roman" w:hAnsi="Times New Roman" w:cs="Times New Roman"/>
                          <w:b/>
                          <w:bCs/>
                          <w:color w:val="auto"/>
                          <w:sz w:val="24"/>
                          <w:szCs w:val="24"/>
                        </w:rPr>
                      </w:pPr>
                      <w:r w:rsidRPr="00305035">
                        <w:rPr>
                          <w:rFonts w:ascii="Times New Roman" w:hAnsi="Times New Roman" w:cs="Times New Roman"/>
                          <w:b/>
                          <w:bCs/>
                          <w:color w:val="auto"/>
                          <w:sz w:val="24"/>
                          <w:szCs w:val="24"/>
                        </w:rPr>
                        <w:t>Figure</w:t>
                      </w:r>
                      <w:r>
                        <w:rPr>
                          <w:rFonts w:ascii="Times New Roman" w:hAnsi="Times New Roman" w:cs="Times New Roman"/>
                          <w:b/>
                          <w:bCs/>
                          <w:color w:val="auto"/>
                          <w:sz w:val="24"/>
                          <w:szCs w:val="24"/>
                        </w:rPr>
                        <w:t xml:space="preserve"> 10</w:t>
                      </w:r>
                      <w:r w:rsidRPr="00305035">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 xml:space="preserve"> Manure Preference</w:t>
                      </w:r>
                      <w:r w:rsidRPr="006B789E">
                        <w:rPr>
                          <w:rFonts w:ascii="Times New Roman" w:hAnsi="Times New Roman" w:cs="Times New Roman"/>
                          <w:b/>
                          <w:bCs/>
                          <w:color w:val="auto"/>
                          <w:sz w:val="24"/>
                          <w:szCs w:val="24"/>
                        </w:rPr>
                        <w:t xml:space="preserve"> Among Respondents</w:t>
                      </w:r>
                      <w:r>
                        <w:rPr>
                          <w:rFonts w:ascii="Times New Roman" w:hAnsi="Times New Roman" w:cs="Times New Roman"/>
                          <w:b/>
                          <w:bCs/>
                          <w:color w:val="auto"/>
                          <w:sz w:val="24"/>
                          <w:szCs w:val="24"/>
                        </w:rPr>
                        <w:t xml:space="preserve"> in %</w:t>
                      </w:r>
                    </w:p>
                    <w:p w14:paraId="16759B7F" w14:textId="77777777" w:rsidR="00392B81" w:rsidRPr="00305035" w:rsidRDefault="00392B81" w:rsidP="00392B81"/>
                    <w:p w14:paraId="38DB0D3C" w14:textId="77777777" w:rsidR="00392B81" w:rsidRPr="00305035" w:rsidRDefault="00392B81" w:rsidP="00392B81"/>
                  </w:txbxContent>
                </v:textbox>
              </v:shape>
            </w:pict>
          </mc:Fallback>
        </mc:AlternateContent>
      </w:r>
    </w:p>
    <w:p w14:paraId="5BC22404" w14:textId="77777777" w:rsidR="00B02D9C" w:rsidRPr="00B02D9C" w:rsidRDefault="00B02D9C" w:rsidP="00B02D9C">
      <w:pPr>
        <w:rPr>
          <w:rFonts w:ascii="Times New Roman" w:hAnsi="Times New Roman" w:cs="Times New Roman"/>
          <w:sz w:val="24"/>
          <w:szCs w:val="24"/>
        </w:rPr>
      </w:pPr>
    </w:p>
    <w:p w14:paraId="2CA9FBEA" w14:textId="77777777" w:rsidR="00B02D9C" w:rsidRPr="00B02D9C" w:rsidRDefault="00B02D9C" w:rsidP="00B02D9C">
      <w:pPr>
        <w:rPr>
          <w:rFonts w:ascii="Times New Roman" w:hAnsi="Times New Roman" w:cs="Times New Roman"/>
          <w:sz w:val="24"/>
          <w:szCs w:val="24"/>
        </w:rPr>
      </w:pPr>
    </w:p>
    <w:p w14:paraId="6D78271B" w14:textId="77777777" w:rsidR="00B02D9C" w:rsidRPr="00B02D9C" w:rsidRDefault="00B02D9C" w:rsidP="00B02D9C">
      <w:pPr>
        <w:rPr>
          <w:rFonts w:ascii="Times New Roman" w:hAnsi="Times New Roman" w:cs="Times New Roman"/>
          <w:sz w:val="24"/>
          <w:szCs w:val="24"/>
        </w:rPr>
      </w:pPr>
    </w:p>
    <w:p w14:paraId="3556EBCF" w14:textId="77777777" w:rsidR="00B02D9C" w:rsidRPr="00B02D9C" w:rsidRDefault="00B02D9C" w:rsidP="00B02D9C">
      <w:pPr>
        <w:rPr>
          <w:rFonts w:ascii="Times New Roman" w:hAnsi="Times New Roman" w:cs="Times New Roman"/>
          <w:sz w:val="24"/>
          <w:szCs w:val="24"/>
        </w:rPr>
      </w:pPr>
    </w:p>
    <w:p w14:paraId="5D128B9B" w14:textId="77777777" w:rsidR="00B02D9C" w:rsidRPr="00B02D9C" w:rsidRDefault="00B02D9C" w:rsidP="00B02D9C">
      <w:pPr>
        <w:rPr>
          <w:rFonts w:ascii="Times New Roman" w:hAnsi="Times New Roman" w:cs="Times New Roman"/>
          <w:sz w:val="24"/>
          <w:szCs w:val="24"/>
        </w:rPr>
      </w:pPr>
    </w:p>
    <w:p w14:paraId="6446B3F3" w14:textId="487B53DE" w:rsidR="00B02D9C" w:rsidRDefault="00E26B1F" w:rsidP="00E26B1F">
      <w:pPr>
        <w:spacing w:line="480" w:lineRule="auto"/>
        <w:jc w:val="both"/>
        <w:rPr>
          <w:rFonts w:ascii="Times New Roman" w:hAnsi="Times New Roman" w:cs="Times New Roman"/>
          <w:sz w:val="24"/>
          <w:szCs w:val="24"/>
        </w:rPr>
      </w:pPr>
      <w:r w:rsidRPr="00E26B1F">
        <w:rPr>
          <w:rFonts w:ascii="Times New Roman" w:hAnsi="Times New Roman" w:cs="Times New Roman"/>
          <w:b/>
          <w:bCs/>
          <w:sz w:val="24"/>
          <w:szCs w:val="24"/>
        </w:rPr>
        <w:t>Discussion:</w:t>
      </w:r>
      <w:r w:rsidRPr="00E26B1F">
        <w:rPr>
          <w:rFonts w:ascii="Times New Roman" w:hAnsi="Times New Roman" w:cs="Times New Roman"/>
          <w:sz w:val="24"/>
          <w:szCs w:val="24"/>
        </w:rPr>
        <w:br/>
      </w:r>
      <w:r w:rsidR="00D86D5D" w:rsidRPr="00D86D5D">
        <w:rPr>
          <w:rFonts w:ascii="Times New Roman" w:hAnsi="Times New Roman" w:cs="Times New Roman"/>
          <w:sz w:val="24"/>
          <w:szCs w:val="24"/>
        </w:rPr>
        <w:t>The survey results show a clear preference among farmers for bulky organic manures. Out of 60 respondents, 58 (97%) preferred bulky manure, while only 2 (3%) opted for concentrated manure. This strong preference suggests that farmers favor traditional, locally available, and easy-to-handle organic inputs for soil fertility management. Bulky manures, such as compost and farmyard manure, are often perceived as more cost-effective and environmentally friendly compared to concentrated forms. The overwhelming choice also reflects practical considerations, including ease of application, availability, and suitability for improving soil structure and long-term fertility.</w:t>
      </w:r>
    </w:p>
    <w:p w14:paraId="57B5B097" w14:textId="70BE60DB" w:rsidR="00F425AF" w:rsidRPr="00F425AF" w:rsidRDefault="00244F74" w:rsidP="00F425AF">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4.11. </w:t>
      </w:r>
      <w:r w:rsidR="00F425AF" w:rsidRPr="00F425AF">
        <w:rPr>
          <w:rFonts w:ascii="Times New Roman" w:hAnsi="Times New Roman" w:cs="Times New Roman"/>
          <w:b/>
          <w:bCs/>
          <w:sz w:val="24"/>
          <w:szCs w:val="24"/>
        </w:rPr>
        <w:t>Benefits of Using Organic Manures and Fertilizers</w:t>
      </w:r>
    </w:p>
    <w:p w14:paraId="2C02E50A" w14:textId="012C9C7D" w:rsidR="00F425AF" w:rsidRDefault="00F425AF" w:rsidP="00E26B1F">
      <w:pPr>
        <w:spacing w:line="480" w:lineRule="auto"/>
        <w:jc w:val="both"/>
        <w:rPr>
          <w:rFonts w:ascii="Times New Roman" w:hAnsi="Times New Roman" w:cs="Times New Roman"/>
          <w:sz w:val="24"/>
          <w:szCs w:val="24"/>
        </w:rPr>
      </w:pPr>
      <w:r w:rsidRPr="00F425AF">
        <w:rPr>
          <w:rFonts w:ascii="Times New Roman" w:hAnsi="Times New Roman" w:cs="Times New Roman"/>
          <w:sz w:val="24"/>
          <w:szCs w:val="24"/>
        </w:rPr>
        <w:t>The survey captured farmers’ perceptions of the major benefits associated with organic manures and fertilizers. The results are presented</w:t>
      </w:r>
    </w:p>
    <w:tbl>
      <w:tblPr>
        <w:tblStyle w:val="TableGrid"/>
        <w:tblW w:w="0" w:type="auto"/>
        <w:tblLook w:val="04A0" w:firstRow="1" w:lastRow="0" w:firstColumn="1" w:lastColumn="0" w:noHBand="0" w:noVBand="1"/>
      </w:tblPr>
      <w:tblGrid>
        <w:gridCol w:w="1872"/>
        <w:gridCol w:w="1523"/>
      </w:tblGrid>
      <w:tr w:rsidR="00BF3162" w:rsidRPr="00BF3162" w14:paraId="7C0CFF67" w14:textId="77777777" w:rsidTr="00B46015">
        <w:tc>
          <w:tcPr>
            <w:tcW w:w="0" w:type="auto"/>
            <w:hideMark/>
          </w:tcPr>
          <w:p w14:paraId="536EBE42" w14:textId="77777777" w:rsidR="00BF3162" w:rsidRPr="00BF3162" w:rsidRDefault="00BF3162" w:rsidP="00BF3162">
            <w:pPr>
              <w:spacing w:after="160" w:line="480" w:lineRule="auto"/>
              <w:jc w:val="center"/>
              <w:rPr>
                <w:rFonts w:ascii="Times New Roman" w:hAnsi="Times New Roman" w:cs="Times New Roman"/>
                <w:b/>
                <w:bCs/>
                <w:sz w:val="24"/>
                <w:szCs w:val="24"/>
              </w:rPr>
            </w:pPr>
            <w:r w:rsidRPr="00BF3162">
              <w:rPr>
                <w:rFonts w:ascii="Times New Roman" w:hAnsi="Times New Roman" w:cs="Times New Roman"/>
                <w:b/>
                <w:bCs/>
                <w:sz w:val="24"/>
                <w:szCs w:val="24"/>
              </w:rPr>
              <w:t>Benefit</w:t>
            </w:r>
          </w:p>
        </w:tc>
        <w:tc>
          <w:tcPr>
            <w:tcW w:w="1523" w:type="dxa"/>
            <w:hideMark/>
          </w:tcPr>
          <w:p w14:paraId="5A85B9EC" w14:textId="08563EB4" w:rsidR="00BF3162" w:rsidRPr="00BF3162" w:rsidRDefault="00BF3162" w:rsidP="00BF3162">
            <w:pPr>
              <w:spacing w:after="160" w:line="480" w:lineRule="auto"/>
              <w:jc w:val="center"/>
              <w:rPr>
                <w:rFonts w:ascii="Times New Roman" w:hAnsi="Times New Roman" w:cs="Times New Roman"/>
                <w:b/>
                <w:bCs/>
                <w:sz w:val="24"/>
                <w:szCs w:val="24"/>
              </w:rPr>
            </w:pPr>
            <w:r w:rsidRPr="001A0A23">
              <w:rPr>
                <w:rFonts w:ascii="Times New Roman" w:hAnsi="Times New Roman" w:cs="Times New Roman"/>
                <w:b/>
                <w:bCs/>
                <w:sz w:val="24"/>
                <w:szCs w:val="24"/>
              </w:rPr>
              <w:t>Total No. of. Respondents</w:t>
            </w:r>
          </w:p>
        </w:tc>
      </w:tr>
      <w:tr w:rsidR="00BF3162" w:rsidRPr="00BF3162" w14:paraId="02DEE345" w14:textId="77777777" w:rsidTr="00B46015">
        <w:tc>
          <w:tcPr>
            <w:tcW w:w="0" w:type="auto"/>
            <w:hideMark/>
          </w:tcPr>
          <w:p w14:paraId="19AEFBEB" w14:textId="77777777" w:rsidR="00BF3162" w:rsidRPr="00BF3162" w:rsidRDefault="00BF3162" w:rsidP="00BF3162">
            <w:pPr>
              <w:spacing w:after="160" w:line="480" w:lineRule="auto"/>
              <w:jc w:val="center"/>
              <w:rPr>
                <w:rFonts w:ascii="Times New Roman" w:hAnsi="Times New Roman" w:cs="Times New Roman"/>
                <w:sz w:val="24"/>
                <w:szCs w:val="24"/>
              </w:rPr>
            </w:pPr>
            <w:r w:rsidRPr="00BF3162">
              <w:rPr>
                <w:rFonts w:ascii="Times New Roman" w:hAnsi="Times New Roman" w:cs="Times New Roman"/>
                <w:sz w:val="24"/>
                <w:szCs w:val="24"/>
              </w:rPr>
              <w:t>Soil Fertility</w:t>
            </w:r>
          </w:p>
        </w:tc>
        <w:tc>
          <w:tcPr>
            <w:tcW w:w="1523" w:type="dxa"/>
            <w:hideMark/>
          </w:tcPr>
          <w:p w14:paraId="6903369E" w14:textId="77777777" w:rsidR="00BF3162" w:rsidRPr="00BF3162" w:rsidRDefault="00BF3162" w:rsidP="00BF3162">
            <w:pPr>
              <w:spacing w:after="160" w:line="480" w:lineRule="auto"/>
              <w:jc w:val="center"/>
              <w:rPr>
                <w:rFonts w:ascii="Times New Roman" w:hAnsi="Times New Roman" w:cs="Times New Roman"/>
                <w:sz w:val="24"/>
                <w:szCs w:val="24"/>
              </w:rPr>
            </w:pPr>
            <w:r w:rsidRPr="00BF3162">
              <w:rPr>
                <w:rFonts w:ascii="Times New Roman" w:hAnsi="Times New Roman" w:cs="Times New Roman"/>
                <w:sz w:val="24"/>
                <w:szCs w:val="24"/>
              </w:rPr>
              <w:t>6</w:t>
            </w:r>
          </w:p>
        </w:tc>
      </w:tr>
      <w:tr w:rsidR="00BF3162" w:rsidRPr="00BF3162" w14:paraId="6E70920B" w14:textId="77777777" w:rsidTr="00B46015">
        <w:tc>
          <w:tcPr>
            <w:tcW w:w="0" w:type="auto"/>
            <w:hideMark/>
          </w:tcPr>
          <w:p w14:paraId="3BC192B4" w14:textId="77777777" w:rsidR="00BF3162" w:rsidRPr="00BF3162" w:rsidRDefault="00BF3162" w:rsidP="00BF3162">
            <w:pPr>
              <w:spacing w:after="160" w:line="480" w:lineRule="auto"/>
              <w:jc w:val="center"/>
              <w:rPr>
                <w:rFonts w:ascii="Times New Roman" w:hAnsi="Times New Roman" w:cs="Times New Roman"/>
                <w:sz w:val="24"/>
                <w:szCs w:val="24"/>
              </w:rPr>
            </w:pPr>
            <w:r w:rsidRPr="00BF3162">
              <w:rPr>
                <w:rFonts w:ascii="Times New Roman" w:hAnsi="Times New Roman" w:cs="Times New Roman"/>
                <w:sz w:val="24"/>
                <w:szCs w:val="24"/>
              </w:rPr>
              <w:t>Avoid Chemicals</w:t>
            </w:r>
          </w:p>
        </w:tc>
        <w:tc>
          <w:tcPr>
            <w:tcW w:w="1523" w:type="dxa"/>
            <w:hideMark/>
          </w:tcPr>
          <w:p w14:paraId="0C25C58F" w14:textId="77777777" w:rsidR="00BF3162" w:rsidRPr="00BF3162" w:rsidRDefault="00BF3162" w:rsidP="00BF3162">
            <w:pPr>
              <w:spacing w:after="160" w:line="480" w:lineRule="auto"/>
              <w:jc w:val="center"/>
              <w:rPr>
                <w:rFonts w:ascii="Times New Roman" w:hAnsi="Times New Roman" w:cs="Times New Roman"/>
                <w:sz w:val="24"/>
                <w:szCs w:val="24"/>
              </w:rPr>
            </w:pPr>
            <w:r w:rsidRPr="00BF3162">
              <w:rPr>
                <w:rFonts w:ascii="Times New Roman" w:hAnsi="Times New Roman" w:cs="Times New Roman"/>
                <w:sz w:val="24"/>
                <w:szCs w:val="24"/>
              </w:rPr>
              <w:t>12</w:t>
            </w:r>
          </w:p>
        </w:tc>
      </w:tr>
      <w:tr w:rsidR="00BF3162" w:rsidRPr="00BF3162" w14:paraId="663AE83C" w14:textId="77777777" w:rsidTr="00B46015">
        <w:tc>
          <w:tcPr>
            <w:tcW w:w="0" w:type="auto"/>
            <w:hideMark/>
          </w:tcPr>
          <w:p w14:paraId="6F9FA21C" w14:textId="77777777" w:rsidR="00BF3162" w:rsidRPr="00BF3162" w:rsidRDefault="00BF3162" w:rsidP="00BF3162">
            <w:pPr>
              <w:spacing w:after="160" w:line="480" w:lineRule="auto"/>
              <w:jc w:val="center"/>
              <w:rPr>
                <w:rFonts w:ascii="Times New Roman" w:hAnsi="Times New Roman" w:cs="Times New Roman"/>
                <w:sz w:val="24"/>
                <w:szCs w:val="24"/>
              </w:rPr>
            </w:pPr>
            <w:r w:rsidRPr="00BF3162">
              <w:rPr>
                <w:rFonts w:ascii="Times New Roman" w:hAnsi="Times New Roman" w:cs="Times New Roman"/>
                <w:sz w:val="24"/>
                <w:szCs w:val="24"/>
              </w:rPr>
              <w:t>Soil Microbes</w:t>
            </w:r>
          </w:p>
        </w:tc>
        <w:tc>
          <w:tcPr>
            <w:tcW w:w="1523" w:type="dxa"/>
            <w:hideMark/>
          </w:tcPr>
          <w:p w14:paraId="5A1AFE96" w14:textId="77777777" w:rsidR="00BF3162" w:rsidRPr="00BF3162" w:rsidRDefault="00BF3162" w:rsidP="00BF3162">
            <w:pPr>
              <w:spacing w:after="160" w:line="480" w:lineRule="auto"/>
              <w:jc w:val="center"/>
              <w:rPr>
                <w:rFonts w:ascii="Times New Roman" w:hAnsi="Times New Roman" w:cs="Times New Roman"/>
                <w:sz w:val="24"/>
                <w:szCs w:val="24"/>
              </w:rPr>
            </w:pPr>
            <w:r w:rsidRPr="00BF3162">
              <w:rPr>
                <w:rFonts w:ascii="Times New Roman" w:hAnsi="Times New Roman" w:cs="Times New Roman"/>
                <w:sz w:val="24"/>
                <w:szCs w:val="24"/>
              </w:rPr>
              <w:t>4</w:t>
            </w:r>
          </w:p>
        </w:tc>
      </w:tr>
      <w:tr w:rsidR="00BF3162" w:rsidRPr="00BF3162" w14:paraId="31E1641C" w14:textId="77777777" w:rsidTr="00B46015">
        <w:tc>
          <w:tcPr>
            <w:tcW w:w="0" w:type="auto"/>
            <w:hideMark/>
          </w:tcPr>
          <w:p w14:paraId="7CEC3E0E" w14:textId="365065C3" w:rsidR="00BF3162" w:rsidRPr="00BF3162" w:rsidRDefault="00BF3162" w:rsidP="00BF3162">
            <w:pPr>
              <w:spacing w:after="160" w:line="480" w:lineRule="auto"/>
              <w:jc w:val="center"/>
              <w:rPr>
                <w:rFonts w:ascii="Times New Roman" w:hAnsi="Times New Roman" w:cs="Times New Roman"/>
                <w:sz w:val="24"/>
                <w:szCs w:val="24"/>
              </w:rPr>
            </w:pPr>
            <w:r w:rsidRPr="00BF3162">
              <w:rPr>
                <w:rFonts w:ascii="Times New Roman" w:hAnsi="Times New Roman" w:cs="Times New Roman"/>
                <w:sz w:val="24"/>
                <w:szCs w:val="24"/>
              </w:rPr>
              <w:t>Cost Effective</w:t>
            </w:r>
          </w:p>
        </w:tc>
        <w:tc>
          <w:tcPr>
            <w:tcW w:w="1523" w:type="dxa"/>
            <w:hideMark/>
          </w:tcPr>
          <w:p w14:paraId="0E158D62" w14:textId="77777777" w:rsidR="00BF3162" w:rsidRPr="00BF3162" w:rsidRDefault="00BF3162" w:rsidP="00BF3162">
            <w:pPr>
              <w:spacing w:after="160" w:line="480" w:lineRule="auto"/>
              <w:jc w:val="center"/>
              <w:rPr>
                <w:rFonts w:ascii="Times New Roman" w:hAnsi="Times New Roman" w:cs="Times New Roman"/>
                <w:sz w:val="24"/>
                <w:szCs w:val="24"/>
              </w:rPr>
            </w:pPr>
            <w:r w:rsidRPr="00BF3162">
              <w:rPr>
                <w:rFonts w:ascii="Times New Roman" w:hAnsi="Times New Roman" w:cs="Times New Roman"/>
                <w:sz w:val="24"/>
                <w:szCs w:val="24"/>
              </w:rPr>
              <w:t>8</w:t>
            </w:r>
          </w:p>
        </w:tc>
      </w:tr>
      <w:tr w:rsidR="00BF3162" w:rsidRPr="00BF3162" w14:paraId="7506F1F6" w14:textId="77777777" w:rsidTr="00B46015">
        <w:tc>
          <w:tcPr>
            <w:tcW w:w="0" w:type="auto"/>
            <w:hideMark/>
          </w:tcPr>
          <w:p w14:paraId="2ECA47BC" w14:textId="77777777" w:rsidR="00BF3162" w:rsidRPr="00BF3162" w:rsidRDefault="00BF3162" w:rsidP="00BF3162">
            <w:pPr>
              <w:spacing w:after="160" w:line="480" w:lineRule="auto"/>
              <w:jc w:val="center"/>
              <w:rPr>
                <w:rFonts w:ascii="Times New Roman" w:hAnsi="Times New Roman" w:cs="Times New Roman"/>
                <w:sz w:val="24"/>
                <w:szCs w:val="24"/>
              </w:rPr>
            </w:pPr>
            <w:r w:rsidRPr="00BF3162">
              <w:rPr>
                <w:rFonts w:ascii="Times New Roman" w:hAnsi="Times New Roman" w:cs="Times New Roman"/>
                <w:sz w:val="24"/>
                <w:szCs w:val="24"/>
              </w:rPr>
              <w:t>All the Above</w:t>
            </w:r>
          </w:p>
        </w:tc>
        <w:tc>
          <w:tcPr>
            <w:tcW w:w="1523" w:type="dxa"/>
            <w:hideMark/>
          </w:tcPr>
          <w:p w14:paraId="212ECEAA" w14:textId="083E1E82" w:rsidR="00BF3162" w:rsidRPr="00BF3162" w:rsidRDefault="00BF3162" w:rsidP="00BF3162">
            <w:pPr>
              <w:spacing w:after="160" w:line="480" w:lineRule="auto"/>
              <w:jc w:val="center"/>
              <w:rPr>
                <w:rFonts w:ascii="Times New Roman" w:hAnsi="Times New Roman" w:cs="Times New Roman"/>
                <w:sz w:val="24"/>
                <w:szCs w:val="24"/>
              </w:rPr>
            </w:pPr>
            <w:r w:rsidRPr="00BF3162">
              <w:rPr>
                <w:rFonts w:ascii="Times New Roman" w:hAnsi="Times New Roman" w:cs="Times New Roman"/>
                <w:sz w:val="24"/>
                <w:szCs w:val="24"/>
              </w:rPr>
              <w:t>30</w:t>
            </w:r>
          </w:p>
        </w:tc>
      </w:tr>
      <w:tr w:rsidR="00BF3162" w:rsidRPr="00BF3162" w14:paraId="0F1A8976" w14:textId="77777777" w:rsidTr="00B46015">
        <w:tc>
          <w:tcPr>
            <w:tcW w:w="0" w:type="auto"/>
            <w:hideMark/>
          </w:tcPr>
          <w:p w14:paraId="267D5298" w14:textId="77777777" w:rsidR="00BF3162" w:rsidRPr="00BF3162" w:rsidRDefault="00BF3162" w:rsidP="00BF3162">
            <w:pPr>
              <w:spacing w:after="160" w:line="480" w:lineRule="auto"/>
              <w:jc w:val="center"/>
              <w:rPr>
                <w:rFonts w:ascii="Times New Roman" w:hAnsi="Times New Roman" w:cs="Times New Roman"/>
                <w:sz w:val="24"/>
                <w:szCs w:val="24"/>
              </w:rPr>
            </w:pPr>
            <w:r w:rsidRPr="00BF3162">
              <w:rPr>
                <w:rFonts w:ascii="Times New Roman" w:hAnsi="Times New Roman" w:cs="Times New Roman"/>
                <w:b/>
                <w:bCs/>
                <w:sz w:val="24"/>
                <w:szCs w:val="24"/>
              </w:rPr>
              <w:t>Total</w:t>
            </w:r>
          </w:p>
        </w:tc>
        <w:tc>
          <w:tcPr>
            <w:tcW w:w="1523" w:type="dxa"/>
            <w:hideMark/>
          </w:tcPr>
          <w:p w14:paraId="30D65E2C" w14:textId="77777777" w:rsidR="00BF3162" w:rsidRPr="00BF3162" w:rsidRDefault="00BF3162" w:rsidP="00BF3162">
            <w:pPr>
              <w:spacing w:after="160" w:line="480" w:lineRule="auto"/>
              <w:jc w:val="center"/>
              <w:rPr>
                <w:rFonts w:ascii="Times New Roman" w:hAnsi="Times New Roman" w:cs="Times New Roman"/>
                <w:sz w:val="24"/>
                <w:szCs w:val="24"/>
              </w:rPr>
            </w:pPr>
            <w:r w:rsidRPr="00BF3162">
              <w:rPr>
                <w:rFonts w:ascii="Times New Roman" w:hAnsi="Times New Roman" w:cs="Times New Roman"/>
                <w:sz w:val="24"/>
                <w:szCs w:val="24"/>
              </w:rPr>
              <w:t>60</w:t>
            </w:r>
          </w:p>
        </w:tc>
      </w:tr>
    </w:tbl>
    <w:p w14:paraId="7C675769" w14:textId="5D35929C" w:rsidR="00B46015" w:rsidRPr="00305035" w:rsidRDefault="00B46015" w:rsidP="00BB53EA">
      <w:pPr>
        <w:pStyle w:val="Caption"/>
        <w:framePr w:w="4045" w:h="637" w:hRule="exact" w:hSpace="180" w:wrap="around" w:vAnchor="text" w:hAnchor="page" w:x="865" w:y="181"/>
        <w:jc w:val="center"/>
        <w:rPr>
          <w:rFonts w:ascii="Times New Roman" w:hAnsi="Times New Roman" w:cs="Times New Roman"/>
          <w:sz w:val="24"/>
          <w:szCs w:val="24"/>
        </w:rPr>
      </w:pPr>
      <w:r w:rsidRPr="00305035">
        <w:rPr>
          <w:rFonts w:ascii="Times New Roman" w:hAnsi="Times New Roman" w:cs="Times New Roman"/>
          <w:b/>
          <w:bCs/>
          <w:color w:val="auto"/>
          <w:sz w:val="24"/>
          <w:szCs w:val="24"/>
        </w:rPr>
        <w:t xml:space="preserve">Table </w:t>
      </w:r>
      <w:r>
        <w:rPr>
          <w:rFonts w:ascii="Times New Roman" w:hAnsi="Times New Roman" w:cs="Times New Roman"/>
          <w:b/>
          <w:bCs/>
          <w:color w:val="auto"/>
          <w:sz w:val="24"/>
          <w:szCs w:val="24"/>
        </w:rPr>
        <w:t>1</w:t>
      </w:r>
      <w:r w:rsidR="00F64F21">
        <w:rPr>
          <w:rFonts w:ascii="Times New Roman" w:hAnsi="Times New Roman" w:cs="Times New Roman"/>
          <w:b/>
          <w:bCs/>
          <w:color w:val="auto"/>
          <w:sz w:val="24"/>
          <w:szCs w:val="24"/>
        </w:rPr>
        <w:t xml:space="preserve">1 </w:t>
      </w:r>
      <w:r w:rsidRPr="00305035">
        <w:rPr>
          <w:rFonts w:ascii="Times New Roman" w:hAnsi="Times New Roman" w:cs="Times New Roman"/>
          <w:b/>
          <w:bCs/>
          <w:color w:val="auto"/>
          <w:sz w:val="24"/>
          <w:szCs w:val="24"/>
        </w:rPr>
        <w:t>–</w:t>
      </w:r>
      <w:r>
        <w:rPr>
          <w:rFonts w:ascii="Times New Roman" w:hAnsi="Times New Roman" w:cs="Times New Roman"/>
          <w:b/>
          <w:bCs/>
          <w:color w:val="auto"/>
          <w:sz w:val="24"/>
          <w:szCs w:val="24"/>
        </w:rPr>
        <w:t xml:space="preserve"> </w:t>
      </w:r>
      <w:r w:rsidR="00BB53EA" w:rsidRPr="00BB53EA">
        <w:rPr>
          <w:rFonts w:ascii="Times New Roman" w:hAnsi="Times New Roman" w:cs="Times New Roman"/>
          <w:b/>
          <w:bCs/>
          <w:color w:val="auto"/>
          <w:sz w:val="24"/>
          <w:szCs w:val="24"/>
        </w:rPr>
        <w:t>Benefits of Using Organic Manures and Fertilizers</w:t>
      </w:r>
      <w:r w:rsidR="00BB53EA">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 xml:space="preserve">by </w:t>
      </w:r>
      <w:r w:rsidRPr="006D365C">
        <w:rPr>
          <w:rFonts w:ascii="Times New Roman" w:hAnsi="Times New Roman" w:cs="Times New Roman"/>
          <w:b/>
          <w:bCs/>
          <w:color w:val="auto"/>
          <w:sz w:val="24"/>
          <w:szCs w:val="24"/>
        </w:rPr>
        <w:t>Respondents</w:t>
      </w:r>
      <w:r w:rsidRPr="00305035">
        <w:rPr>
          <w:rFonts w:ascii="Times New Roman" w:hAnsi="Times New Roman" w:cs="Times New Roman"/>
          <w:sz w:val="24"/>
          <w:szCs w:val="24"/>
        </w:rPr>
        <w:br w:type="textWrapping" w:clear="all"/>
      </w:r>
    </w:p>
    <w:p w14:paraId="7365BF76" w14:textId="735E769F" w:rsidR="003952E2" w:rsidRDefault="00B750E0" w:rsidP="003F0B52">
      <w:pPr>
        <w:spacing w:line="480" w:lineRule="auto"/>
        <w:jc w:val="both"/>
        <w:rPr>
          <w:rFonts w:ascii="Times New Roman" w:hAnsi="Times New Roman" w:cs="Times New Roman"/>
          <w:sz w:val="24"/>
          <w:szCs w:val="24"/>
        </w:rPr>
      </w:pPr>
      <w:r>
        <w:rPr>
          <w:rFonts w:ascii="Times New Roman" w:hAnsi="Times New Roman" w:cs="Times New Roman"/>
          <w:b/>
          <w:bCs/>
          <w:sz w:val="24"/>
          <w:szCs w:val="24"/>
        </w:rPr>
        <w:drawing>
          <wp:anchor distT="0" distB="0" distL="114300" distR="114300" simplePos="0" relativeHeight="251699200" behindDoc="1" locked="0" layoutInCell="1" allowOverlap="1" wp14:anchorId="0C897253" wp14:editId="70A0DD26">
            <wp:simplePos x="0" y="0"/>
            <wp:positionH relativeFrom="column">
              <wp:posOffset>2560320</wp:posOffset>
            </wp:positionH>
            <wp:positionV relativeFrom="paragraph">
              <wp:posOffset>-3619500</wp:posOffset>
            </wp:positionV>
            <wp:extent cx="3550920" cy="3665220"/>
            <wp:effectExtent l="0" t="0" r="11430" b="11430"/>
            <wp:wrapNone/>
            <wp:docPr id="1225914423"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C04BC4" w:rsidRPr="00305035">
        <mc:AlternateContent>
          <mc:Choice Requires="wps">
            <w:drawing>
              <wp:anchor distT="0" distB="0" distL="114300" distR="114300" simplePos="0" relativeHeight="251695104" behindDoc="1" locked="0" layoutInCell="1" allowOverlap="1" wp14:anchorId="6A816B94" wp14:editId="680C8FCC">
                <wp:simplePos x="0" y="0"/>
                <wp:positionH relativeFrom="column">
                  <wp:posOffset>2766695</wp:posOffset>
                </wp:positionH>
                <wp:positionV relativeFrom="paragraph">
                  <wp:posOffset>121285</wp:posOffset>
                </wp:positionV>
                <wp:extent cx="2804160" cy="381000"/>
                <wp:effectExtent l="0" t="0" r="0" b="0"/>
                <wp:wrapNone/>
                <wp:docPr id="1586156159" name="Text Box 1"/>
                <wp:cNvGraphicFramePr/>
                <a:graphic xmlns:a="http://schemas.openxmlformats.org/drawingml/2006/main">
                  <a:graphicData uri="http://schemas.microsoft.com/office/word/2010/wordprocessingShape">
                    <wps:wsp>
                      <wps:cNvSpPr txBox="1"/>
                      <wps:spPr>
                        <a:xfrm>
                          <a:off x="0" y="0"/>
                          <a:ext cx="2804160" cy="381000"/>
                        </a:xfrm>
                        <a:prstGeom prst="rect">
                          <a:avLst/>
                        </a:prstGeom>
                        <a:solidFill>
                          <a:prstClr val="white"/>
                        </a:solidFill>
                        <a:ln>
                          <a:noFill/>
                        </a:ln>
                      </wps:spPr>
                      <wps:txbx>
                        <w:txbxContent>
                          <w:p w14:paraId="632B3DED" w14:textId="64455F93" w:rsidR="003952E2" w:rsidRPr="00305035" w:rsidRDefault="003952E2" w:rsidP="003952E2">
                            <w:pPr>
                              <w:pStyle w:val="Caption"/>
                              <w:jc w:val="center"/>
                              <w:rPr>
                                <w:rFonts w:ascii="Times New Roman" w:hAnsi="Times New Roman" w:cs="Times New Roman"/>
                                <w:b/>
                                <w:bCs/>
                                <w:color w:val="auto"/>
                                <w:sz w:val="24"/>
                                <w:szCs w:val="24"/>
                              </w:rPr>
                            </w:pPr>
                            <w:r w:rsidRPr="00305035">
                              <w:rPr>
                                <w:rFonts w:ascii="Times New Roman" w:hAnsi="Times New Roman" w:cs="Times New Roman"/>
                                <w:b/>
                                <w:bCs/>
                                <w:color w:val="auto"/>
                                <w:sz w:val="24"/>
                                <w:szCs w:val="24"/>
                              </w:rPr>
                              <w:t>Figure</w:t>
                            </w:r>
                            <w:r>
                              <w:rPr>
                                <w:rFonts w:ascii="Times New Roman" w:hAnsi="Times New Roman" w:cs="Times New Roman"/>
                                <w:b/>
                                <w:bCs/>
                                <w:color w:val="auto"/>
                                <w:sz w:val="24"/>
                                <w:szCs w:val="24"/>
                              </w:rPr>
                              <w:t xml:space="preserve"> 1</w:t>
                            </w:r>
                            <w:r w:rsidR="00F64F21">
                              <w:rPr>
                                <w:rFonts w:ascii="Times New Roman" w:hAnsi="Times New Roman" w:cs="Times New Roman"/>
                                <w:b/>
                                <w:bCs/>
                                <w:color w:val="auto"/>
                                <w:sz w:val="24"/>
                                <w:szCs w:val="24"/>
                              </w:rPr>
                              <w:t>1</w:t>
                            </w:r>
                            <w:r w:rsidRPr="00305035">
                              <w:rPr>
                                <w:rFonts w:ascii="Times New Roman" w:hAnsi="Times New Roman" w:cs="Times New Roman"/>
                                <w:b/>
                                <w:bCs/>
                                <w:color w:val="auto"/>
                                <w:sz w:val="24"/>
                                <w:szCs w:val="24"/>
                              </w:rPr>
                              <w:t xml:space="preserve"> </w:t>
                            </w:r>
                            <w:r w:rsidR="00F64F21" w:rsidRPr="00305035">
                              <w:rPr>
                                <w:rFonts w:ascii="Times New Roman" w:hAnsi="Times New Roman" w:cs="Times New Roman"/>
                                <w:b/>
                                <w:bCs/>
                                <w:color w:val="auto"/>
                                <w:sz w:val="24"/>
                                <w:szCs w:val="24"/>
                              </w:rPr>
                              <w:t>–</w:t>
                            </w:r>
                            <w:r w:rsidR="00F64F21">
                              <w:rPr>
                                <w:rFonts w:ascii="Times New Roman" w:hAnsi="Times New Roman" w:cs="Times New Roman"/>
                                <w:b/>
                                <w:bCs/>
                                <w:color w:val="auto"/>
                                <w:sz w:val="24"/>
                                <w:szCs w:val="24"/>
                              </w:rPr>
                              <w:t xml:space="preserve"> </w:t>
                            </w:r>
                            <w:r w:rsidR="00F64F21" w:rsidRPr="00BB53EA">
                              <w:rPr>
                                <w:rFonts w:ascii="Times New Roman" w:hAnsi="Times New Roman" w:cs="Times New Roman"/>
                                <w:b/>
                                <w:bCs/>
                                <w:color w:val="auto"/>
                                <w:sz w:val="24"/>
                                <w:szCs w:val="24"/>
                              </w:rPr>
                              <w:t xml:space="preserve">Benefits of Using Organic Manures </w:t>
                            </w:r>
                            <w:r w:rsidRPr="006B789E">
                              <w:rPr>
                                <w:rFonts w:ascii="Times New Roman" w:hAnsi="Times New Roman" w:cs="Times New Roman"/>
                                <w:b/>
                                <w:bCs/>
                                <w:color w:val="auto"/>
                                <w:sz w:val="24"/>
                                <w:szCs w:val="24"/>
                              </w:rPr>
                              <w:t>Among Respondents</w:t>
                            </w:r>
                            <w:r>
                              <w:rPr>
                                <w:rFonts w:ascii="Times New Roman" w:hAnsi="Times New Roman" w:cs="Times New Roman"/>
                                <w:b/>
                                <w:bCs/>
                                <w:color w:val="auto"/>
                                <w:sz w:val="24"/>
                                <w:szCs w:val="24"/>
                              </w:rPr>
                              <w:t xml:space="preserve"> in %</w:t>
                            </w:r>
                          </w:p>
                          <w:p w14:paraId="0CF3A224" w14:textId="77777777" w:rsidR="003952E2" w:rsidRPr="00305035" w:rsidRDefault="003952E2" w:rsidP="003952E2"/>
                          <w:p w14:paraId="799FE7E9" w14:textId="77777777" w:rsidR="003952E2" w:rsidRPr="00305035" w:rsidRDefault="003952E2" w:rsidP="003952E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16B94" id="_x0000_s1037" type="#_x0000_t202" style="position:absolute;left:0;text-align:left;margin-left:217.85pt;margin-top:9.55pt;width:220.8pt;height:30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" stroked="f">
                <v:textbox inset="0,0,0,0">
                  <w:txbxContent>
                    <w:p w14:paraId="632B3DED" w14:textId="64455F93" w:rsidR="003952E2" w:rsidRPr="00305035" w:rsidRDefault="003952E2" w:rsidP="003952E2">
                      <w:pPr>
                        <w:pStyle w:val="Caption"/>
                        <w:jc w:val="center"/>
                        <w:rPr>
                          <w:rFonts w:ascii="Times New Roman" w:hAnsi="Times New Roman" w:cs="Times New Roman"/>
                          <w:b/>
                          <w:bCs/>
                          <w:color w:val="auto"/>
                          <w:sz w:val="24"/>
                          <w:szCs w:val="24"/>
                        </w:rPr>
                      </w:pPr>
                      <w:r w:rsidRPr="00305035">
                        <w:rPr>
                          <w:rFonts w:ascii="Times New Roman" w:hAnsi="Times New Roman" w:cs="Times New Roman"/>
                          <w:b/>
                          <w:bCs/>
                          <w:color w:val="auto"/>
                          <w:sz w:val="24"/>
                          <w:szCs w:val="24"/>
                        </w:rPr>
                        <w:t>Figure</w:t>
                      </w:r>
                      <w:r>
                        <w:rPr>
                          <w:rFonts w:ascii="Times New Roman" w:hAnsi="Times New Roman" w:cs="Times New Roman"/>
                          <w:b/>
                          <w:bCs/>
                          <w:color w:val="auto"/>
                          <w:sz w:val="24"/>
                          <w:szCs w:val="24"/>
                        </w:rPr>
                        <w:t xml:space="preserve"> 1</w:t>
                      </w:r>
                      <w:r w:rsidR="00F64F21">
                        <w:rPr>
                          <w:rFonts w:ascii="Times New Roman" w:hAnsi="Times New Roman" w:cs="Times New Roman"/>
                          <w:b/>
                          <w:bCs/>
                          <w:color w:val="auto"/>
                          <w:sz w:val="24"/>
                          <w:szCs w:val="24"/>
                        </w:rPr>
                        <w:t>1</w:t>
                      </w:r>
                      <w:r w:rsidRPr="00305035">
                        <w:rPr>
                          <w:rFonts w:ascii="Times New Roman" w:hAnsi="Times New Roman" w:cs="Times New Roman"/>
                          <w:b/>
                          <w:bCs/>
                          <w:color w:val="auto"/>
                          <w:sz w:val="24"/>
                          <w:szCs w:val="24"/>
                        </w:rPr>
                        <w:t xml:space="preserve"> </w:t>
                      </w:r>
                      <w:r w:rsidR="00F64F21" w:rsidRPr="00305035">
                        <w:rPr>
                          <w:rFonts w:ascii="Times New Roman" w:hAnsi="Times New Roman" w:cs="Times New Roman"/>
                          <w:b/>
                          <w:bCs/>
                          <w:color w:val="auto"/>
                          <w:sz w:val="24"/>
                          <w:szCs w:val="24"/>
                        </w:rPr>
                        <w:t>–</w:t>
                      </w:r>
                      <w:r w:rsidR="00F64F21">
                        <w:rPr>
                          <w:rFonts w:ascii="Times New Roman" w:hAnsi="Times New Roman" w:cs="Times New Roman"/>
                          <w:b/>
                          <w:bCs/>
                          <w:color w:val="auto"/>
                          <w:sz w:val="24"/>
                          <w:szCs w:val="24"/>
                        </w:rPr>
                        <w:t xml:space="preserve"> </w:t>
                      </w:r>
                      <w:r w:rsidR="00F64F21" w:rsidRPr="00BB53EA">
                        <w:rPr>
                          <w:rFonts w:ascii="Times New Roman" w:hAnsi="Times New Roman" w:cs="Times New Roman"/>
                          <w:b/>
                          <w:bCs/>
                          <w:color w:val="auto"/>
                          <w:sz w:val="24"/>
                          <w:szCs w:val="24"/>
                        </w:rPr>
                        <w:t xml:space="preserve">Benefits of Using Organic Manures </w:t>
                      </w:r>
                      <w:r w:rsidRPr="006B789E">
                        <w:rPr>
                          <w:rFonts w:ascii="Times New Roman" w:hAnsi="Times New Roman" w:cs="Times New Roman"/>
                          <w:b/>
                          <w:bCs/>
                          <w:color w:val="auto"/>
                          <w:sz w:val="24"/>
                          <w:szCs w:val="24"/>
                        </w:rPr>
                        <w:t>Among Respondents</w:t>
                      </w:r>
                      <w:r>
                        <w:rPr>
                          <w:rFonts w:ascii="Times New Roman" w:hAnsi="Times New Roman" w:cs="Times New Roman"/>
                          <w:b/>
                          <w:bCs/>
                          <w:color w:val="auto"/>
                          <w:sz w:val="24"/>
                          <w:szCs w:val="24"/>
                        </w:rPr>
                        <w:t xml:space="preserve"> in %</w:t>
                      </w:r>
                    </w:p>
                    <w:p w14:paraId="0CF3A224" w14:textId="77777777" w:rsidR="003952E2" w:rsidRPr="00305035" w:rsidRDefault="003952E2" w:rsidP="003952E2"/>
                    <w:p w14:paraId="799FE7E9" w14:textId="77777777" w:rsidR="003952E2" w:rsidRPr="00305035" w:rsidRDefault="003952E2" w:rsidP="003952E2"/>
                  </w:txbxContent>
                </v:textbox>
              </v:shape>
            </w:pict>
          </mc:Fallback>
        </mc:AlternateContent>
      </w:r>
    </w:p>
    <w:p w14:paraId="3AFE6657" w14:textId="67B699A8" w:rsidR="003952E2" w:rsidRDefault="003952E2" w:rsidP="003952E2">
      <w:pPr>
        <w:spacing w:line="480" w:lineRule="auto"/>
        <w:jc w:val="both"/>
        <w:rPr>
          <w:rFonts w:ascii="Times New Roman" w:hAnsi="Times New Roman" w:cs="Times New Roman"/>
          <w:b/>
          <w:bCs/>
          <w:sz w:val="24"/>
          <w:szCs w:val="24"/>
        </w:rPr>
      </w:pPr>
    </w:p>
    <w:p w14:paraId="55238C73" w14:textId="5529FF36" w:rsidR="00D86D5D" w:rsidRPr="00D86D5D" w:rsidRDefault="003F0B52" w:rsidP="00D86D5D">
      <w:pPr>
        <w:spacing w:line="480" w:lineRule="auto"/>
        <w:jc w:val="both"/>
        <w:rPr>
          <w:rFonts w:ascii="Times New Roman" w:hAnsi="Times New Roman" w:cs="Times New Roman"/>
          <w:sz w:val="24"/>
          <w:szCs w:val="24"/>
        </w:rPr>
      </w:pPr>
      <w:r w:rsidRPr="00D86D5D">
        <w:rPr>
          <w:rFonts w:ascii="Times New Roman" w:hAnsi="Times New Roman" w:cs="Times New Roman"/>
          <w:b/>
          <w:bCs/>
          <w:sz w:val="24"/>
          <w:szCs w:val="24"/>
        </w:rPr>
        <w:t>Discussion:</w:t>
      </w:r>
      <w:r w:rsidRPr="00D86D5D">
        <w:rPr>
          <w:rFonts w:ascii="Times New Roman" w:hAnsi="Times New Roman" w:cs="Times New Roman"/>
          <w:sz w:val="24"/>
          <w:szCs w:val="24"/>
        </w:rPr>
        <w:br/>
      </w:r>
      <w:r w:rsidR="00D86D5D" w:rsidRPr="00D86D5D">
        <w:rPr>
          <w:rFonts w:ascii="Times New Roman" w:hAnsi="Times New Roman" w:cs="Times New Roman"/>
          <w:sz w:val="24"/>
          <w:szCs w:val="24"/>
        </w:rPr>
        <w:t>The survey shows that farmers recognize multiple benefits of organic manures. Half of the respondents (50%) reported experiencing all benefits, indicating a broad appreciation of organic inputs. Avoiding chemicals (20%) and cost-effectiveness (13%) were particularly emphasized, while improvements in soil fertility (10%) and soil microbial activity (7%) were also noted. Overall, these findings suggest that farmers adopt organic manures to enhance crop productivity, improve soil health, and promote sustainable, eco-friendly, and cost-efficient farming practices.</w:t>
      </w:r>
    </w:p>
    <w:p w14:paraId="7151DE3A" w14:textId="4FCFF237" w:rsidR="003F0B52" w:rsidRDefault="003F0B52" w:rsidP="00F64F21">
      <w:pPr>
        <w:spacing w:line="480" w:lineRule="auto"/>
        <w:jc w:val="both"/>
        <w:rPr>
          <w:rFonts w:ascii="Times New Roman" w:hAnsi="Times New Roman" w:cs="Times New Roman"/>
          <w:sz w:val="24"/>
          <w:szCs w:val="24"/>
        </w:rPr>
      </w:pPr>
    </w:p>
    <w:p w14:paraId="61C95BBF" w14:textId="7B4D221A" w:rsidR="0075523D" w:rsidRPr="0075523D" w:rsidRDefault="00244F74" w:rsidP="0075523D">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4.12. </w:t>
      </w:r>
      <w:r w:rsidR="0075523D" w:rsidRPr="0075523D">
        <w:rPr>
          <w:rFonts w:ascii="Times New Roman" w:hAnsi="Times New Roman" w:cs="Times New Roman"/>
          <w:b/>
          <w:bCs/>
          <w:sz w:val="24"/>
          <w:szCs w:val="24"/>
        </w:rPr>
        <w:t>Problems Faced in Using Organic Manures and Fertilizers</w:t>
      </w:r>
    </w:p>
    <w:p w14:paraId="22FCEE62" w14:textId="13DC1F04" w:rsidR="0052737E" w:rsidRDefault="0075523D" w:rsidP="00F64F21">
      <w:pPr>
        <w:spacing w:line="480" w:lineRule="auto"/>
        <w:jc w:val="both"/>
        <w:rPr>
          <w:rFonts w:ascii="Times New Roman" w:hAnsi="Times New Roman" w:cs="Times New Roman"/>
          <w:sz w:val="24"/>
          <w:szCs w:val="24"/>
        </w:rPr>
      </w:pPr>
      <w:r w:rsidRPr="0075523D">
        <w:rPr>
          <w:rFonts w:ascii="Times New Roman" w:hAnsi="Times New Roman" w:cs="Times New Roman"/>
          <w:sz w:val="24"/>
          <w:szCs w:val="24"/>
        </w:rPr>
        <w:t>The survey recorded the challenges faced by farmers in adopting organic manures and fertilizers. The results are summarized</w:t>
      </w:r>
    </w:p>
    <w:tbl>
      <w:tblPr>
        <w:tblStyle w:val="TableGrid"/>
        <w:tblW w:w="0" w:type="auto"/>
        <w:tblLook w:val="04A0" w:firstRow="1" w:lastRow="0" w:firstColumn="1" w:lastColumn="0" w:noHBand="0" w:noVBand="1"/>
      </w:tblPr>
      <w:tblGrid>
        <w:gridCol w:w="2178"/>
        <w:gridCol w:w="1645"/>
      </w:tblGrid>
      <w:tr w:rsidR="00D56121" w:rsidRPr="00D56121" w14:paraId="7048660D" w14:textId="77777777" w:rsidTr="00D56121">
        <w:tc>
          <w:tcPr>
            <w:tcW w:w="0" w:type="auto"/>
            <w:hideMark/>
          </w:tcPr>
          <w:p w14:paraId="50F77EF8" w14:textId="77777777" w:rsidR="00D56121" w:rsidRPr="00D56121" w:rsidRDefault="00D56121" w:rsidP="00D56121">
            <w:pPr>
              <w:spacing w:after="160" w:line="480" w:lineRule="auto"/>
              <w:jc w:val="center"/>
              <w:rPr>
                <w:rFonts w:ascii="Times New Roman" w:hAnsi="Times New Roman" w:cs="Times New Roman"/>
                <w:b/>
                <w:bCs/>
                <w:sz w:val="24"/>
                <w:szCs w:val="24"/>
              </w:rPr>
            </w:pPr>
            <w:r w:rsidRPr="00D56121">
              <w:rPr>
                <w:rFonts w:ascii="Times New Roman" w:hAnsi="Times New Roman" w:cs="Times New Roman"/>
                <w:b/>
                <w:bCs/>
                <w:sz w:val="24"/>
                <w:szCs w:val="24"/>
              </w:rPr>
              <w:t>Problem</w:t>
            </w:r>
          </w:p>
        </w:tc>
        <w:tc>
          <w:tcPr>
            <w:tcW w:w="1645" w:type="dxa"/>
            <w:hideMark/>
          </w:tcPr>
          <w:p w14:paraId="41CEE030" w14:textId="273CC2A3" w:rsidR="00D56121" w:rsidRPr="00D56121" w:rsidRDefault="00D56121" w:rsidP="00D56121">
            <w:pPr>
              <w:spacing w:after="160" w:line="480" w:lineRule="auto"/>
              <w:jc w:val="center"/>
              <w:rPr>
                <w:rFonts w:ascii="Times New Roman" w:hAnsi="Times New Roman" w:cs="Times New Roman"/>
                <w:b/>
                <w:bCs/>
                <w:sz w:val="24"/>
                <w:szCs w:val="24"/>
              </w:rPr>
            </w:pPr>
            <w:r w:rsidRPr="001A0A23">
              <w:rPr>
                <w:rFonts w:ascii="Times New Roman" w:hAnsi="Times New Roman" w:cs="Times New Roman"/>
                <w:b/>
                <w:bCs/>
                <w:sz w:val="24"/>
                <w:szCs w:val="24"/>
              </w:rPr>
              <w:t>Total No. of. Respondents</w:t>
            </w:r>
          </w:p>
        </w:tc>
      </w:tr>
      <w:tr w:rsidR="00D56121" w:rsidRPr="00D56121" w14:paraId="339B485A" w14:textId="77777777" w:rsidTr="00D56121">
        <w:tc>
          <w:tcPr>
            <w:tcW w:w="0" w:type="auto"/>
            <w:hideMark/>
          </w:tcPr>
          <w:p w14:paraId="247FF17E" w14:textId="77777777" w:rsidR="00D56121" w:rsidRPr="00D56121" w:rsidRDefault="00D56121" w:rsidP="00D56121">
            <w:pPr>
              <w:spacing w:after="160" w:line="480" w:lineRule="auto"/>
              <w:jc w:val="center"/>
              <w:rPr>
                <w:rFonts w:ascii="Times New Roman" w:hAnsi="Times New Roman" w:cs="Times New Roman"/>
                <w:sz w:val="24"/>
                <w:szCs w:val="24"/>
              </w:rPr>
            </w:pPr>
            <w:r w:rsidRPr="00D56121">
              <w:rPr>
                <w:rFonts w:ascii="Times New Roman" w:hAnsi="Times New Roman" w:cs="Times New Roman"/>
                <w:sz w:val="24"/>
                <w:szCs w:val="24"/>
              </w:rPr>
              <w:t>Non-Availability</w:t>
            </w:r>
          </w:p>
        </w:tc>
        <w:tc>
          <w:tcPr>
            <w:tcW w:w="1645" w:type="dxa"/>
            <w:hideMark/>
          </w:tcPr>
          <w:p w14:paraId="5B60307C" w14:textId="77777777" w:rsidR="00D56121" w:rsidRPr="00D56121" w:rsidRDefault="00D56121" w:rsidP="00D56121">
            <w:pPr>
              <w:spacing w:after="160" w:line="480" w:lineRule="auto"/>
              <w:jc w:val="center"/>
              <w:rPr>
                <w:rFonts w:ascii="Times New Roman" w:hAnsi="Times New Roman" w:cs="Times New Roman"/>
                <w:sz w:val="24"/>
                <w:szCs w:val="24"/>
              </w:rPr>
            </w:pPr>
            <w:r w:rsidRPr="00D56121">
              <w:rPr>
                <w:rFonts w:ascii="Times New Roman" w:hAnsi="Times New Roman" w:cs="Times New Roman"/>
                <w:sz w:val="24"/>
                <w:szCs w:val="24"/>
              </w:rPr>
              <w:t>38</w:t>
            </w:r>
          </w:p>
        </w:tc>
      </w:tr>
      <w:tr w:rsidR="00D56121" w:rsidRPr="00D56121" w14:paraId="58B0FDD7" w14:textId="77777777" w:rsidTr="00D56121">
        <w:tc>
          <w:tcPr>
            <w:tcW w:w="0" w:type="auto"/>
            <w:hideMark/>
          </w:tcPr>
          <w:p w14:paraId="67336D60" w14:textId="77777777" w:rsidR="00D56121" w:rsidRPr="00D56121" w:rsidRDefault="00D56121" w:rsidP="00D56121">
            <w:pPr>
              <w:spacing w:after="160" w:line="480" w:lineRule="auto"/>
              <w:jc w:val="center"/>
              <w:rPr>
                <w:rFonts w:ascii="Times New Roman" w:hAnsi="Times New Roman" w:cs="Times New Roman"/>
                <w:sz w:val="24"/>
                <w:szCs w:val="24"/>
              </w:rPr>
            </w:pPr>
            <w:r w:rsidRPr="00D56121">
              <w:rPr>
                <w:rFonts w:ascii="Times New Roman" w:hAnsi="Times New Roman" w:cs="Times New Roman"/>
                <w:sz w:val="24"/>
                <w:szCs w:val="24"/>
              </w:rPr>
              <w:t>Off-Farm Resources</w:t>
            </w:r>
          </w:p>
        </w:tc>
        <w:tc>
          <w:tcPr>
            <w:tcW w:w="1645" w:type="dxa"/>
            <w:hideMark/>
          </w:tcPr>
          <w:p w14:paraId="3AF7DD0F" w14:textId="00D74399" w:rsidR="00D56121" w:rsidRPr="00D56121" w:rsidRDefault="00D56121" w:rsidP="00D56121">
            <w:pPr>
              <w:spacing w:after="160" w:line="480" w:lineRule="auto"/>
              <w:jc w:val="center"/>
              <w:rPr>
                <w:rFonts w:ascii="Times New Roman" w:hAnsi="Times New Roman" w:cs="Times New Roman"/>
                <w:sz w:val="24"/>
                <w:szCs w:val="24"/>
              </w:rPr>
            </w:pPr>
            <w:r w:rsidRPr="00D56121">
              <w:rPr>
                <w:rFonts w:ascii="Times New Roman" w:hAnsi="Times New Roman" w:cs="Times New Roman"/>
                <w:sz w:val="24"/>
                <w:szCs w:val="24"/>
              </w:rPr>
              <w:t>6</w:t>
            </w:r>
          </w:p>
        </w:tc>
      </w:tr>
      <w:tr w:rsidR="00D56121" w:rsidRPr="00D56121" w14:paraId="45B02641" w14:textId="77777777" w:rsidTr="00D56121">
        <w:tc>
          <w:tcPr>
            <w:tcW w:w="0" w:type="auto"/>
            <w:hideMark/>
          </w:tcPr>
          <w:p w14:paraId="1907140C" w14:textId="77777777" w:rsidR="00D56121" w:rsidRPr="00D56121" w:rsidRDefault="00D56121" w:rsidP="00D56121">
            <w:pPr>
              <w:spacing w:after="160" w:line="480" w:lineRule="auto"/>
              <w:jc w:val="center"/>
              <w:rPr>
                <w:rFonts w:ascii="Times New Roman" w:hAnsi="Times New Roman" w:cs="Times New Roman"/>
                <w:sz w:val="24"/>
                <w:szCs w:val="24"/>
              </w:rPr>
            </w:pPr>
            <w:r w:rsidRPr="00D56121">
              <w:rPr>
                <w:rFonts w:ascii="Times New Roman" w:hAnsi="Times New Roman" w:cs="Times New Roman"/>
                <w:sz w:val="24"/>
                <w:szCs w:val="24"/>
              </w:rPr>
              <w:t>Large Quantity</w:t>
            </w:r>
          </w:p>
        </w:tc>
        <w:tc>
          <w:tcPr>
            <w:tcW w:w="1645" w:type="dxa"/>
            <w:hideMark/>
          </w:tcPr>
          <w:p w14:paraId="3F98DC43" w14:textId="248ECEC2" w:rsidR="00D56121" w:rsidRPr="00D56121" w:rsidRDefault="00D56121" w:rsidP="00D56121">
            <w:pPr>
              <w:spacing w:after="160" w:line="480" w:lineRule="auto"/>
              <w:jc w:val="center"/>
              <w:rPr>
                <w:rFonts w:ascii="Times New Roman" w:hAnsi="Times New Roman" w:cs="Times New Roman"/>
                <w:sz w:val="24"/>
                <w:szCs w:val="24"/>
              </w:rPr>
            </w:pPr>
            <w:r w:rsidRPr="00D56121">
              <w:rPr>
                <w:rFonts w:ascii="Times New Roman" w:hAnsi="Times New Roman" w:cs="Times New Roman"/>
                <w:sz w:val="24"/>
                <w:szCs w:val="24"/>
              </w:rPr>
              <w:t>11</w:t>
            </w:r>
          </w:p>
        </w:tc>
      </w:tr>
      <w:tr w:rsidR="00D56121" w:rsidRPr="00D56121" w14:paraId="0376BA80" w14:textId="77777777" w:rsidTr="00D56121">
        <w:tc>
          <w:tcPr>
            <w:tcW w:w="0" w:type="auto"/>
            <w:hideMark/>
          </w:tcPr>
          <w:p w14:paraId="11B860E3" w14:textId="77777777" w:rsidR="00D56121" w:rsidRPr="00D56121" w:rsidRDefault="00D56121" w:rsidP="00D56121">
            <w:pPr>
              <w:spacing w:after="160" w:line="480" w:lineRule="auto"/>
              <w:jc w:val="center"/>
              <w:rPr>
                <w:rFonts w:ascii="Times New Roman" w:hAnsi="Times New Roman" w:cs="Times New Roman"/>
                <w:sz w:val="24"/>
                <w:szCs w:val="24"/>
              </w:rPr>
            </w:pPr>
            <w:r w:rsidRPr="00D56121">
              <w:rPr>
                <w:rFonts w:ascii="Times New Roman" w:hAnsi="Times New Roman" w:cs="Times New Roman"/>
                <w:sz w:val="24"/>
                <w:szCs w:val="24"/>
              </w:rPr>
              <w:t>Initial Loss</w:t>
            </w:r>
          </w:p>
        </w:tc>
        <w:tc>
          <w:tcPr>
            <w:tcW w:w="1645" w:type="dxa"/>
            <w:hideMark/>
          </w:tcPr>
          <w:p w14:paraId="69698CB3" w14:textId="77777777" w:rsidR="00D56121" w:rsidRPr="00D56121" w:rsidRDefault="00D56121" w:rsidP="00D56121">
            <w:pPr>
              <w:spacing w:after="160" w:line="480" w:lineRule="auto"/>
              <w:jc w:val="center"/>
              <w:rPr>
                <w:rFonts w:ascii="Times New Roman" w:hAnsi="Times New Roman" w:cs="Times New Roman"/>
                <w:sz w:val="24"/>
                <w:szCs w:val="24"/>
              </w:rPr>
            </w:pPr>
            <w:r w:rsidRPr="00D56121">
              <w:rPr>
                <w:rFonts w:ascii="Times New Roman" w:hAnsi="Times New Roman" w:cs="Times New Roman"/>
                <w:sz w:val="24"/>
                <w:szCs w:val="24"/>
              </w:rPr>
              <w:t>5</w:t>
            </w:r>
          </w:p>
        </w:tc>
      </w:tr>
      <w:tr w:rsidR="00D56121" w:rsidRPr="00D56121" w14:paraId="20A5F77C" w14:textId="77777777" w:rsidTr="00D56121">
        <w:tc>
          <w:tcPr>
            <w:tcW w:w="0" w:type="auto"/>
            <w:hideMark/>
          </w:tcPr>
          <w:p w14:paraId="7CDD7CE4" w14:textId="77777777" w:rsidR="00D56121" w:rsidRPr="00D56121" w:rsidRDefault="00D56121" w:rsidP="00D56121">
            <w:pPr>
              <w:spacing w:after="160" w:line="480" w:lineRule="auto"/>
              <w:jc w:val="center"/>
              <w:rPr>
                <w:rFonts w:ascii="Times New Roman" w:hAnsi="Times New Roman" w:cs="Times New Roman"/>
                <w:sz w:val="24"/>
                <w:szCs w:val="24"/>
              </w:rPr>
            </w:pPr>
            <w:r w:rsidRPr="00D56121">
              <w:rPr>
                <w:rFonts w:ascii="Times New Roman" w:hAnsi="Times New Roman" w:cs="Times New Roman"/>
                <w:sz w:val="24"/>
                <w:szCs w:val="24"/>
              </w:rPr>
              <w:t>All the Above</w:t>
            </w:r>
          </w:p>
        </w:tc>
        <w:tc>
          <w:tcPr>
            <w:tcW w:w="1645" w:type="dxa"/>
            <w:hideMark/>
          </w:tcPr>
          <w:p w14:paraId="580D201A" w14:textId="77777777" w:rsidR="00D56121" w:rsidRPr="00D56121" w:rsidRDefault="00D56121" w:rsidP="00D56121">
            <w:pPr>
              <w:spacing w:after="160" w:line="480" w:lineRule="auto"/>
              <w:jc w:val="center"/>
              <w:rPr>
                <w:rFonts w:ascii="Times New Roman" w:hAnsi="Times New Roman" w:cs="Times New Roman"/>
                <w:sz w:val="24"/>
                <w:szCs w:val="24"/>
              </w:rPr>
            </w:pPr>
            <w:r w:rsidRPr="00D56121">
              <w:rPr>
                <w:rFonts w:ascii="Times New Roman" w:hAnsi="Times New Roman" w:cs="Times New Roman"/>
                <w:sz w:val="24"/>
                <w:szCs w:val="24"/>
              </w:rPr>
              <w:t>—</w:t>
            </w:r>
          </w:p>
        </w:tc>
      </w:tr>
      <w:tr w:rsidR="00D56121" w:rsidRPr="00D56121" w14:paraId="22947BAC" w14:textId="77777777" w:rsidTr="00D56121">
        <w:tc>
          <w:tcPr>
            <w:tcW w:w="0" w:type="auto"/>
            <w:hideMark/>
          </w:tcPr>
          <w:p w14:paraId="1A141A9A" w14:textId="77777777" w:rsidR="00D56121" w:rsidRPr="00D56121" w:rsidRDefault="00D56121" w:rsidP="00D56121">
            <w:pPr>
              <w:spacing w:after="160" w:line="480" w:lineRule="auto"/>
              <w:jc w:val="center"/>
              <w:rPr>
                <w:rFonts w:ascii="Times New Roman" w:hAnsi="Times New Roman" w:cs="Times New Roman"/>
                <w:sz w:val="24"/>
                <w:szCs w:val="24"/>
              </w:rPr>
            </w:pPr>
            <w:r w:rsidRPr="00D56121">
              <w:rPr>
                <w:rFonts w:ascii="Times New Roman" w:hAnsi="Times New Roman" w:cs="Times New Roman"/>
                <w:b/>
                <w:bCs/>
                <w:sz w:val="24"/>
                <w:szCs w:val="24"/>
              </w:rPr>
              <w:t>Total</w:t>
            </w:r>
          </w:p>
        </w:tc>
        <w:tc>
          <w:tcPr>
            <w:tcW w:w="1645" w:type="dxa"/>
            <w:hideMark/>
          </w:tcPr>
          <w:p w14:paraId="104D5586" w14:textId="77777777" w:rsidR="00D56121" w:rsidRPr="00D56121" w:rsidRDefault="00D56121" w:rsidP="00D56121">
            <w:pPr>
              <w:spacing w:after="160" w:line="480" w:lineRule="auto"/>
              <w:jc w:val="center"/>
              <w:rPr>
                <w:rFonts w:ascii="Times New Roman" w:hAnsi="Times New Roman" w:cs="Times New Roman"/>
                <w:sz w:val="24"/>
                <w:szCs w:val="24"/>
              </w:rPr>
            </w:pPr>
            <w:r w:rsidRPr="00D56121">
              <w:rPr>
                <w:rFonts w:ascii="Times New Roman" w:hAnsi="Times New Roman" w:cs="Times New Roman"/>
                <w:sz w:val="24"/>
                <w:szCs w:val="24"/>
              </w:rPr>
              <w:t>60</w:t>
            </w:r>
          </w:p>
        </w:tc>
      </w:tr>
    </w:tbl>
    <w:p w14:paraId="4A20E444" w14:textId="476D8316" w:rsidR="003A6D06" w:rsidRPr="00305035" w:rsidRDefault="003A6D06" w:rsidP="003A6D06">
      <w:pPr>
        <w:pStyle w:val="Caption"/>
        <w:framePr w:w="4045" w:h="637" w:hRule="exact" w:hSpace="180" w:wrap="around" w:vAnchor="text" w:hAnchor="page" w:x="1237" w:y="145"/>
        <w:jc w:val="center"/>
        <w:rPr>
          <w:rFonts w:ascii="Times New Roman" w:hAnsi="Times New Roman" w:cs="Times New Roman"/>
          <w:sz w:val="24"/>
          <w:szCs w:val="24"/>
        </w:rPr>
      </w:pPr>
      <w:r w:rsidRPr="00305035">
        <w:rPr>
          <w:rFonts w:ascii="Times New Roman" w:hAnsi="Times New Roman" w:cs="Times New Roman"/>
          <w:b/>
          <w:bCs/>
          <w:color w:val="auto"/>
          <w:sz w:val="24"/>
          <w:szCs w:val="24"/>
        </w:rPr>
        <w:t xml:space="preserve">Table </w:t>
      </w:r>
      <w:r>
        <w:rPr>
          <w:rFonts w:ascii="Times New Roman" w:hAnsi="Times New Roman" w:cs="Times New Roman"/>
          <w:b/>
          <w:bCs/>
          <w:color w:val="auto"/>
          <w:sz w:val="24"/>
          <w:szCs w:val="24"/>
        </w:rPr>
        <w:t>1</w:t>
      </w:r>
      <w:r w:rsidR="000D489B">
        <w:rPr>
          <w:rFonts w:ascii="Times New Roman" w:hAnsi="Times New Roman" w:cs="Times New Roman"/>
          <w:b/>
          <w:bCs/>
          <w:color w:val="auto"/>
          <w:sz w:val="24"/>
          <w:szCs w:val="24"/>
        </w:rPr>
        <w:t>2</w:t>
      </w:r>
      <w:r>
        <w:rPr>
          <w:rFonts w:ascii="Times New Roman" w:hAnsi="Times New Roman" w:cs="Times New Roman"/>
          <w:b/>
          <w:bCs/>
          <w:color w:val="auto"/>
          <w:sz w:val="24"/>
          <w:szCs w:val="24"/>
        </w:rPr>
        <w:t xml:space="preserve"> </w:t>
      </w:r>
      <w:r w:rsidRPr="00305035">
        <w:rPr>
          <w:rFonts w:ascii="Times New Roman" w:hAnsi="Times New Roman" w:cs="Times New Roman"/>
          <w:b/>
          <w:bCs/>
          <w:color w:val="auto"/>
          <w:sz w:val="24"/>
          <w:szCs w:val="24"/>
        </w:rPr>
        <w:t>–</w:t>
      </w:r>
      <w:r w:rsidR="000D489B">
        <w:rPr>
          <w:rFonts w:ascii="Times New Roman" w:hAnsi="Times New Roman" w:cs="Times New Roman"/>
          <w:b/>
          <w:bCs/>
          <w:color w:val="auto"/>
          <w:sz w:val="24"/>
          <w:szCs w:val="24"/>
        </w:rPr>
        <w:t xml:space="preserve">Problems </w:t>
      </w:r>
      <w:r w:rsidRPr="00BB53EA">
        <w:rPr>
          <w:rFonts w:ascii="Times New Roman" w:hAnsi="Times New Roman" w:cs="Times New Roman"/>
          <w:b/>
          <w:bCs/>
          <w:color w:val="auto"/>
          <w:sz w:val="24"/>
          <w:szCs w:val="24"/>
        </w:rPr>
        <w:t>of Using Organic Manures and Fertilizers</w:t>
      </w:r>
      <w:r>
        <w:rPr>
          <w:rFonts w:ascii="Times New Roman" w:hAnsi="Times New Roman" w:cs="Times New Roman"/>
          <w:b/>
          <w:bCs/>
          <w:color w:val="auto"/>
          <w:sz w:val="24"/>
          <w:szCs w:val="24"/>
        </w:rPr>
        <w:t xml:space="preserve"> by </w:t>
      </w:r>
      <w:r w:rsidRPr="006D365C">
        <w:rPr>
          <w:rFonts w:ascii="Times New Roman" w:hAnsi="Times New Roman" w:cs="Times New Roman"/>
          <w:b/>
          <w:bCs/>
          <w:color w:val="auto"/>
          <w:sz w:val="24"/>
          <w:szCs w:val="24"/>
        </w:rPr>
        <w:t>Respondents</w:t>
      </w:r>
      <w:r w:rsidRPr="00305035">
        <w:rPr>
          <w:rFonts w:ascii="Times New Roman" w:hAnsi="Times New Roman" w:cs="Times New Roman"/>
          <w:sz w:val="24"/>
          <w:szCs w:val="24"/>
        </w:rPr>
        <w:br w:type="textWrapping" w:clear="all"/>
      </w:r>
    </w:p>
    <w:p w14:paraId="4FF26D09" w14:textId="164118C9" w:rsidR="0052737E" w:rsidRDefault="000D489B" w:rsidP="000D489B">
      <w:pPr>
        <w:tabs>
          <w:tab w:val="left" w:pos="1848"/>
          <w:tab w:val="center" w:pos="2502"/>
        </w:tabs>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F371B" w:rsidRPr="00305035">
        <mc:AlternateContent>
          <mc:Choice Requires="wps">
            <w:drawing>
              <wp:anchor distT="0" distB="0" distL="114300" distR="114300" simplePos="0" relativeHeight="251698176" behindDoc="1" locked="0" layoutInCell="1" allowOverlap="1" wp14:anchorId="57E7A0A1" wp14:editId="3E5C470F">
                <wp:simplePos x="0" y="0"/>
                <wp:positionH relativeFrom="margin">
                  <wp:align>right</wp:align>
                </wp:positionH>
                <wp:positionV relativeFrom="paragraph">
                  <wp:posOffset>37465</wp:posOffset>
                </wp:positionV>
                <wp:extent cx="2804160" cy="381000"/>
                <wp:effectExtent l="0" t="0" r="0" b="0"/>
                <wp:wrapNone/>
                <wp:docPr id="1708565638" name="Text Box 1"/>
                <wp:cNvGraphicFramePr/>
                <a:graphic xmlns:a="http://schemas.openxmlformats.org/drawingml/2006/main">
                  <a:graphicData uri="http://schemas.microsoft.com/office/word/2010/wordprocessingShape">
                    <wps:wsp>
                      <wps:cNvSpPr txBox="1"/>
                      <wps:spPr>
                        <a:xfrm>
                          <a:off x="0" y="0"/>
                          <a:ext cx="2804160" cy="381000"/>
                        </a:xfrm>
                        <a:prstGeom prst="rect">
                          <a:avLst/>
                        </a:prstGeom>
                        <a:solidFill>
                          <a:prstClr val="white"/>
                        </a:solidFill>
                        <a:ln>
                          <a:noFill/>
                        </a:ln>
                      </wps:spPr>
                      <wps:txbx>
                        <w:txbxContent>
                          <w:p w14:paraId="7C6A6505" w14:textId="58CADC56" w:rsidR="00FF371B" w:rsidRPr="00305035" w:rsidRDefault="00FF371B" w:rsidP="00FF371B">
                            <w:pPr>
                              <w:pStyle w:val="Caption"/>
                              <w:jc w:val="center"/>
                              <w:rPr>
                                <w:rFonts w:ascii="Times New Roman" w:hAnsi="Times New Roman" w:cs="Times New Roman"/>
                                <w:b/>
                                <w:bCs/>
                                <w:color w:val="auto"/>
                                <w:sz w:val="24"/>
                                <w:szCs w:val="24"/>
                              </w:rPr>
                            </w:pPr>
                            <w:r w:rsidRPr="00305035">
                              <w:rPr>
                                <w:rFonts w:ascii="Times New Roman" w:hAnsi="Times New Roman" w:cs="Times New Roman"/>
                                <w:b/>
                                <w:bCs/>
                                <w:color w:val="auto"/>
                                <w:sz w:val="24"/>
                                <w:szCs w:val="24"/>
                              </w:rPr>
                              <w:t>Figure</w:t>
                            </w:r>
                            <w:r>
                              <w:rPr>
                                <w:rFonts w:ascii="Times New Roman" w:hAnsi="Times New Roman" w:cs="Times New Roman"/>
                                <w:b/>
                                <w:bCs/>
                                <w:color w:val="auto"/>
                                <w:sz w:val="24"/>
                                <w:szCs w:val="24"/>
                              </w:rPr>
                              <w:t xml:space="preserve"> 1</w:t>
                            </w:r>
                            <w:r w:rsidR="000D489B">
                              <w:rPr>
                                <w:rFonts w:ascii="Times New Roman" w:hAnsi="Times New Roman" w:cs="Times New Roman"/>
                                <w:b/>
                                <w:bCs/>
                                <w:color w:val="auto"/>
                                <w:sz w:val="24"/>
                                <w:szCs w:val="24"/>
                              </w:rPr>
                              <w:t>2</w:t>
                            </w:r>
                            <w:r w:rsidRPr="00305035">
                              <w:rPr>
                                <w:rFonts w:ascii="Times New Roman" w:hAnsi="Times New Roman" w:cs="Times New Roman"/>
                                <w:b/>
                                <w:bCs/>
                                <w:color w:val="auto"/>
                                <w:sz w:val="24"/>
                                <w:szCs w:val="24"/>
                              </w:rPr>
                              <w:t xml:space="preserve"> –</w:t>
                            </w:r>
                            <w:r w:rsidR="000D489B">
                              <w:rPr>
                                <w:rFonts w:ascii="Times New Roman" w:hAnsi="Times New Roman" w:cs="Times New Roman"/>
                                <w:b/>
                                <w:bCs/>
                                <w:color w:val="auto"/>
                                <w:sz w:val="24"/>
                                <w:szCs w:val="24"/>
                              </w:rPr>
                              <w:t xml:space="preserve"> Problem</w:t>
                            </w:r>
                            <w:r w:rsidRPr="00BB53EA">
                              <w:rPr>
                                <w:rFonts w:ascii="Times New Roman" w:hAnsi="Times New Roman" w:cs="Times New Roman"/>
                                <w:b/>
                                <w:bCs/>
                                <w:color w:val="auto"/>
                                <w:sz w:val="24"/>
                                <w:szCs w:val="24"/>
                              </w:rPr>
                              <w:t xml:space="preserve">s of Using Organic Manures </w:t>
                            </w:r>
                            <w:r w:rsidRPr="006B789E">
                              <w:rPr>
                                <w:rFonts w:ascii="Times New Roman" w:hAnsi="Times New Roman" w:cs="Times New Roman"/>
                                <w:b/>
                                <w:bCs/>
                                <w:color w:val="auto"/>
                                <w:sz w:val="24"/>
                                <w:szCs w:val="24"/>
                              </w:rPr>
                              <w:t>Among Respondents</w:t>
                            </w:r>
                            <w:r>
                              <w:rPr>
                                <w:rFonts w:ascii="Times New Roman" w:hAnsi="Times New Roman" w:cs="Times New Roman"/>
                                <w:b/>
                                <w:bCs/>
                                <w:color w:val="auto"/>
                                <w:sz w:val="24"/>
                                <w:szCs w:val="24"/>
                              </w:rPr>
                              <w:t xml:space="preserve"> in %</w:t>
                            </w:r>
                          </w:p>
                          <w:p w14:paraId="18B26D0D" w14:textId="77777777" w:rsidR="00FF371B" w:rsidRPr="00305035" w:rsidRDefault="00FF371B" w:rsidP="00FF371B"/>
                          <w:p w14:paraId="100E457F" w14:textId="77777777" w:rsidR="00FF371B" w:rsidRPr="00305035" w:rsidRDefault="00FF371B" w:rsidP="00FF371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7A0A1" id="_x0000_s1038" type="#_x0000_t202" style="position:absolute;margin-left:169.6pt;margin-top:2.95pt;width:220.8pt;height:30pt;z-index:-2516183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" stroked="f">
                <v:textbox inset="0,0,0,0">
                  <w:txbxContent>
                    <w:p w14:paraId="7C6A6505" w14:textId="58CADC56" w:rsidR="00FF371B" w:rsidRPr="00305035" w:rsidRDefault="00FF371B" w:rsidP="00FF371B">
                      <w:pPr>
                        <w:pStyle w:val="Caption"/>
                        <w:jc w:val="center"/>
                        <w:rPr>
                          <w:rFonts w:ascii="Times New Roman" w:hAnsi="Times New Roman" w:cs="Times New Roman"/>
                          <w:b/>
                          <w:bCs/>
                          <w:color w:val="auto"/>
                          <w:sz w:val="24"/>
                          <w:szCs w:val="24"/>
                        </w:rPr>
                      </w:pPr>
                      <w:r w:rsidRPr="00305035">
                        <w:rPr>
                          <w:rFonts w:ascii="Times New Roman" w:hAnsi="Times New Roman" w:cs="Times New Roman"/>
                          <w:b/>
                          <w:bCs/>
                          <w:color w:val="auto"/>
                          <w:sz w:val="24"/>
                          <w:szCs w:val="24"/>
                        </w:rPr>
                        <w:t>Figure</w:t>
                      </w:r>
                      <w:r>
                        <w:rPr>
                          <w:rFonts w:ascii="Times New Roman" w:hAnsi="Times New Roman" w:cs="Times New Roman"/>
                          <w:b/>
                          <w:bCs/>
                          <w:color w:val="auto"/>
                          <w:sz w:val="24"/>
                          <w:szCs w:val="24"/>
                        </w:rPr>
                        <w:t xml:space="preserve"> 1</w:t>
                      </w:r>
                      <w:r w:rsidR="000D489B">
                        <w:rPr>
                          <w:rFonts w:ascii="Times New Roman" w:hAnsi="Times New Roman" w:cs="Times New Roman"/>
                          <w:b/>
                          <w:bCs/>
                          <w:color w:val="auto"/>
                          <w:sz w:val="24"/>
                          <w:szCs w:val="24"/>
                        </w:rPr>
                        <w:t>2</w:t>
                      </w:r>
                      <w:r w:rsidRPr="00305035">
                        <w:rPr>
                          <w:rFonts w:ascii="Times New Roman" w:hAnsi="Times New Roman" w:cs="Times New Roman"/>
                          <w:b/>
                          <w:bCs/>
                          <w:color w:val="auto"/>
                          <w:sz w:val="24"/>
                          <w:szCs w:val="24"/>
                        </w:rPr>
                        <w:t xml:space="preserve"> –</w:t>
                      </w:r>
                      <w:r w:rsidR="000D489B">
                        <w:rPr>
                          <w:rFonts w:ascii="Times New Roman" w:hAnsi="Times New Roman" w:cs="Times New Roman"/>
                          <w:b/>
                          <w:bCs/>
                          <w:color w:val="auto"/>
                          <w:sz w:val="24"/>
                          <w:szCs w:val="24"/>
                        </w:rPr>
                        <w:t xml:space="preserve"> Problem</w:t>
                      </w:r>
                      <w:r w:rsidRPr="00BB53EA">
                        <w:rPr>
                          <w:rFonts w:ascii="Times New Roman" w:hAnsi="Times New Roman" w:cs="Times New Roman"/>
                          <w:b/>
                          <w:bCs/>
                          <w:color w:val="auto"/>
                          <w:sz w:val="24"/>
                          <w:szCs w:val="24"/>
                        </w:rPr>
                        <w:t xml:space="preserve">s of Using Organic Manures </w:t>
                      </w:r>
                      <w:r w:rsidRPr="006B789E">
                        <w:rPr>
                          <w:rFonts w:ascii="Times New Roman" w:hAnsi="Times New Roman" w:cs="Times New Roman"/>
                          <w:b/>
                          <w:bCs/>
                          <w:color w:val="auto"/>
                          <w:sz w:val="24"/>
                          <w:szCs w:val="24"/>
                        </w:rPr>
                        <w:t>Among Respondents</w:t>
                      </w:r>
                      <w:r>
                        <w:rPr>
                          <w:rFonts w:ascii="Times New Roman" w:hAnsi="Times New Roman" w:cs="Times New Roman"/>
                          <w:b/>
                          <w:bCs/>
                          <w:color w:val="auto"/>
                          <w:sz w:val="24"/>
                          <w:szCs w:val="24"/>
                        </w:rPr>
                        <w:t xml:space="preserve"> in %</w:t>
                      </w:r>
                    </w:p>
                    <w:p w14:paraId="18B26D0D" w14:textId="77777777" w:rsidR="00FF371B" w:rsidRPr="00305035" w:rsidRDefault="00FF371B" w:rsidP="00FF371B"/>
                    <w:p w14:paraId="100E457F" w14:textId="77777777" w:rsidR="00FF371B" w:rsidRPr="00305035" w:rsidRDefault="00FF371B" w:rsidP="00FF371B"/>
                  </w:txbxContent>
                </v:textbox>
                <w10:wrap anchorx="margin"/>
              </v:shape>
            </w:pict>
          </mc:Fallback>
        </mc:AlternateContent>
      </w:r>
      <w:r w:rsidR="00DA398C">
        <w:rPr>
          <w:rFonts w:ascii="Times New Roman" w:hAnsi="Times New Roman" w:cs="Times New Roman"/>
          <w:sz w:val="24"/>
          <w:szCs w:val="24"/>
        </w:rPr>
        <w:drawing>
          <wp:anchor distT="0" distB="0" distL="114300" distR="114300" simplePos="0" relativeHeight="251696128" behindDoc="1" locked="0" layoutInCell="1" allowOverlap="1" wp14:anchorId="0075F5A4" wp14:editId="392BC2ED">
            <wp:simplePos x="0" y="0"/>
            <wp:positionH relativeFrom="column">
              <wp:posOffset>2674620</wp:posOffset>
            </wp:positionH>
            <wp:positionV relativeFrom="paragraph">
              <wp:posOffset>-3558540</wp:posOffset>
            </wp:positionV>
            <wp:extent cx="3299460" cy="3497580"/>
            <wp:effectExtent l="0" t="0" r="15240" b="7620"/>
            <wp:wrapNone/>
            <wp:docPr id="234743075"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anchor>
        </w:drawing>
      </w:r>
    </w:p>
    <w:p w14:paraId="383AB465" w14:textId="77777777" w:rsidR="00321E8B" w:rsidRPr="00321E8B" w:rsidRDefault="00321E8B" w:rsidP="00321E8B">
      <w:pPr>
        <w:rPr>
          <w:rFonts w:ascii="Times New Roman" w:hAnsi="Times New Roman" w:cs="Times New Roman"/>
          <w:sz w:val="24"/>
          <w:szCs w:val="24"/>
        </w:rPr>
      </w:pPr>
    </w:p>
    <w:p w14:paraId="4187D625" w14:textId="785E288F" w:rsidR="00321E8B" w:rsidRDefault="00321E8B" w:rsidP="00321E8B">
      <w:pPr>
        <w:spacing w:line="480" w:lineRule="auto"/>
        <w:jc w:val="both"/>
        <w:rPr>
          <w:rFonts w:ascii="Times New Roman" w:hAnsi="Times New Roman" w:cs="Times New Roman"/>
          <w:sz w:val="24"/>
          <w:szCs w:val="24"/>
        </w:rPr>
      </w:pPr>
      <w:r w:rsidRPr="00321E8B">
        <w:rPr>
          <w:rFonts w:ascii="Times New Roman" w:hAnsi="Times New Roman" w:cs="Times New Roman"/>
          <w:b/>
          <w:bCs/>
          <w:sz w:val="24"/>
          <w:szCs w:val="24"/>
        </w:rPr>
        <w:t>Discussion:</w:t>
      </w:r>
      <w:r w:rsidRPr="00321E8B">
        <w:rPr>
          <w:rFonts w:ascii="Times New Roman" w:hAnsi="Times New Roman" w:cs="Times New Roman"/>
          <w:sz w:val="24"/>
          <w:szCs w:val="24"/>
        </w:rPr>
        <w:br/>
        <w:t>The findings indicate that non-availability of organic manures is the primary challenge for farmers, affecting 63% of respondents. This suggests supply chain constraints and limited local production of organic inputs, which can hinder timely adoption. The requirement for large quantities (18%) further adds to the difficulty, as transporting and storing bulk materials can be labor-intensive and costly. Dependency on off-farm resources (10%) highlights that some farmers rely on external inputs rather than producing them on-site, which may reduce sustainability. Initial loss (8%) reflects farmers’ concerns over potential yield reductions or slower crop growth when transitioning to organic practices.</w:t>
      </w:r>
    </w:p>
    <w:p w14:paraId="6B591A50" w14:textId="77777777" w:rsidR="004C6D84" w:rsidRPr="004C6D84" w:rsidRDefault="004C6D84" w:rsidP="004C6D84">
      <w:pPr>
        <w:spacing w:line="480" w:lineRule="auto"/>
        <w:jc w:val="both"/>
        <w:rPr>
          <w:rFonts w:ascii="Times New Roman" w:hAnsi="Times New Roman" w:cs="Times New Roman"/>
          <w:b/>
          <w:bCs/>
          <w:sz w:val="24"/>
          <w:szCs w:val="24"/>
        </w:rPr>
      </w:pPr>
      <w:r w:rsidRPr="004C6D84">
        <w:rPr>
          <w:rFonts w:ascii="Times New Roman" w:hAnsi="Times New Roman" w:cs="Times New Roman"/>
          <w:b/>
          <w:bCs/>
          <w:sz w:val="24"/>
          <w:szCs w:val="24"/>
        </w:rPr>
        <w:lastRenderedPageBreak/>
        <w:t>5. Comparative Discussion</w:t>
      </w:r>
    </w:p>
    <w:p w14:paraId="54535903" w14:textId="77777777" w:rsidR="004C6D84" w:rsidRDefault="004C6D84" w:rsidP="004C6D84">
      <w:pPr>
        <w:spacing w:line="480" w:lineRule="auto"/>
        <w:jc w:val="both"/>
        <w:rPr>
          <w:rFonts w:ascii="Times New Roman" w:hAnsi="Times New Roman" w:cs="Times New Roman"/>
          <w:sz w:val="24"/>
          <w:szCs w:val="24"/>
        </w:rPr>
      </w:pPr>
      <w:r w:rsidRPr="004C6D84">
        <w:rPr>
          <w:rFonts w:ascii="Times New Roman" w:hAnsi="Times New Roman" w:cs="Times New Roman"/>
          <w:sz w:val="24"/>
          <w:szCs w:val="24"/>
        </w:rPr>
        <w:t>The present study confirms that farmers in Pollachi generally prefer organic fertilizers over inorganic ones, but face challenges in adoption due to availability, handling requirements, and yield-related concerns. These findings align with, and in some cases diverge from, earlier studies discussed in the literature review.</w:t>
      </w:r>
    </w:p>
    <w:p w14:paraId="3B8E8C1A" w14:textId="2D407609" w:rsidR="004C6D84" w:rsidRPr="004C6D84" w:rsidRDefault="004C6D84" w:rsidP="004C6D84">
      <w:pPr>
        <w:spacing w:line="480" w:lineRule="auto"/>
        <w:jc w:val="both"/>
        <w:rPr>
          <w:rFonts w:ascii="Times New Roman" w:hAnsi="Times New Roman" w:cs="Times New Roman"/>
          <w:b/>
          <w:bCs/>
          <w:sz w:val="24"/>
          <w:szCs w:val="24"/>
        </w:rPr>
      </w:pPr>
      <w:r w:rsidRPr="004C6D84">
        <w:rPr>
          <w:rFonts w:ascii="Times New Roman" w:hAnsi="Times New Roman" w:cs="Times New Roman"/>
          <w:b/>
          <w:bCs/>
          <w:sz w:val="24"/>
          <w:szCs w:val="24"/>
        </w:rPr>
        <w:t>5.1. Socio–economic Factors</w:t>
      </w:r>
    </w:p>
    <w:p w14:paraId="4EEE0179" w14:textId="5F96E9A7" w:rsidR="004C6D84" w:rsidRDefault="004C6D84" w:rsidP="004C6D84">
      <w:pPr>
        <w:spacing w:line="480" w:lineRule="auto"/>
        <w:jc w:val="both"/>
        <w:rPr>
          <w:rFonts w:ascii="Times New Roman" w:hAnsi="Times New Roman" w:cs="Times New Roman"/>
          <w:sz w:val="24"/>
          <w:szCs w:val="24"/>
        </w:rPr>
      </w:pPr>
      <w:r w:rsidRPr="004C6D84">
        <w:rPr>
          <w:rFonts w:ascii="Times New Roman" w:hAnsi="Times New Roman" w:cs="Times New Roman"/>
          <w:sz w:val="24"/>
          <w:szCs w:val="24"/>
        </w:rPr>
        <w:t>The predominance of older farmers in this study is similar to the observations of Shehu et al. (2016), who reported that age and experience positively influenced perception of organic manures among Nigerian farmers. The relatively high literacy rate among Pollachi farmers also supports the findings of Abebe and Debebe (2019), who identified education as a significant driver of organic input adoption in Ethiopia. By contrast, the underrepresentation of younger farmers in Pollachi corresponds with Aryal et al. (2021), who highlighted that younger rural populations in South Asia often migrate to non-farm occupations, reducing their agricultural involvement.</w:t>
      </w:r>
    </w:p>
    <w:p w14:paraId="229F90F2" w14:textId="76A95048" w:rsidR="004C6D84" w:rsidRPr="004C6D84" w:rsidRDefault="004C6D84" w:rsidP="004C6D84">
      <w:pPr>
        <w:spacing w:line="480" w:lineRule="auto"/>
        <w:jc w:val="both"/>
        <w:rPr>
          <w:rFonts w:ascii="Times New Roman" w:hAnsi="Times New Roman" w:cs="Times New Roman"/>
          <w:b/>
          <w:bCs/>
          <w:sz w:val="24"/>
          <w:szCs w:val="24"/>
        </w:rPr>
      </w:pPr>
      <w:r w:rsidRPr="004C6D84">
        <w:rPr>
          <w:rFonts w:ascii="Times New Roman" w:hAnsi="Times New Roman" w:cs="Times New Roman"/>
          <w:b/>
          <w:bCs/>
          <w:sz w:val="24"/>
          <w:szCs w:val="24"/>
        </w:rPr>
        <w:t>5.2. Farm Size and Landholding</w:t>
      </w:r>
    </w:p>
    <w:p w14:paraId="76B28F7E" w14:textId="76B0030C" w:rsidR="004C6D84" w:rsidRDefault="004C6D84" w:rsidP="004C6D84">
      <w:pPr>
        <w:spacing w:line="480" w:lineRule="auto"/>
        <w:jc w:val="both"/>
        <w:rPr>
          <w:rFonts w:ascii="Times New Roman" w:hAnsi="Times New Roman" w:cs="Times New Roman"/>
          <w:sz w:val="24"/>
          <w:szCs w:val="24"/>
        </w:rPr>
      </w:pPr>
      <w:r w:rsidRPr="004C6D84">
        <w:rPr>
          <w:rFonts w:ascii="Times New Roman" w:hAnsi="Times New Roman" w:cs="Times New Roman"/>
          <w:sz w:val="24"/>
          <w:szCs w:val="24"/>
        </w:rPr>
        <w:t>Most respondents were marginal farmers with less than 2.5 acres. This is consistent with Aryal et al. (2021), who reported that smallholder dominance and land fragmentation are widespread constraints to organic input adoption in India and South Asia. Similar conclusions were drawn by Nkeme et al. (2015), who found that small farm size limited organic manure use among female vegetable farmers in Nigeria.</w:t>
      </w:r>
    </w:p>
    <w:p w14:paraId="477CA06C" w14:textId="1FCE9F48" w:rsidR="004C6D84" w:rsidRPr="004C6D84" w:rsidRDefault="004C6D84" w:rsidP="004C6D84">
      <w:pPr>
        <w:spacing w:line="480" w:lineRule="auto"/>
        <w:jc w:val="both"/>
        <w:rPr>
          <w:rFonts w:ascii="Times New Roman" w:hAnsi="Times New Roman" w:cs="Times New Roman"/>
          <w:b/>
          <w:bCs/>
          <w:sz w:val="24"/>
          <w:szCs w:val="24"/>
        </w:rPr>
      </w:pPr>
      <w:r w:rsidRPr="004C6D84">
        <w:rPr>
          <w:rFonts w:ascii="Times New Roman" w:hAnsi="Times New Roman" w:cs="Times New Roman"/>
          <w:b/>
          <w:bCs/>
          <w:sz w:val="24"/>
          <w:szCs w:val="24"/>
        </w:rPr>
        <w:t>5.3. Fertilizer Preferences</w:t>
      </w:r>
    </w:p>
    <w:p w14:paraId="14E4D802" w14:textId="00B6EC17" w:rsidR="004C6D84" w:rsidRDefault="004C6D84" w:rsidP="004C6D84">
      <w:pPr>
        <w:spacing w:line="480" w:lineRule="auto"/>
        <w:jc w:val="both"/>
        <w:rPr>
          <w:rFonts w:ascii="Times New Roman" w:hAnsi="Times New Roman" w:cs="Times New Roman"/>
          <w:sz w:val="24"/>
          <w:szCs w:val="24"/>
        </w:rPr>
      </w:pPr>
      <w:r w:rsidRPr="004C6D84">
        <w:rPr>
          <w:rFonts w:ascii="Times New Roman" w:hAnsi="Times New Roman" w:cs="Times New Roman"/>
          <w:sz w:val="24"/>
          <w:szCs w:val="24"/>
        </w:rPr>
        <w:t xml:space="preserve">Although 61% of respondents continued to apply inorganic fertilizers, all expressed a strong preference for organics, particularly bulky manures. This dual behavior mirrors the findings of </w:t>
      </w:r>
      <w:r w:rsidRPr="004C6D84">
        <w:rPr>
          <w:rFonts w:ascii="Times New Roman" w:hAnsi="Times New Roman" w:cs="Times New Roman"/>
          <w:sz w:val="24"/>
          <w:szCs w:val="24"/>
        </w:rPr>
        <w:lastRenderedPageBreak/>
        <w:t>Shukla et al. (2022), who noted that Indian farmers often rely on chemical fertilizers for productivity assurance while acknowledging the sustainability benefits of organics. Comparable results were presented by Fasina (2013) in Nigeria, who described a mismatch between preference and actual adoption of organics due to perceived effectiveness issues.</w:t>
      </w:r>
    </w:p>
    <w:p w14:paraId="282B907D" w14:textId="15D787EE" w:rsidR="004C6D84" w:rsidRPr="004C6D84" w:rsidRDefault="004C6D84" w:rsidP="004C6D84">
      <w:pPr>
        <w:spacing w:line="480" w:lineRule="auto"/>
        <w:jc w:val="both"/>
        <w:rPr>
          <w:rFonts w:ascii="Times New Roman" w:hAnsi="Times New Roman" w:cs="Times New Roman"/>
          <w:b/>
          <w:bCs/>
          <w:sz w:val="24"/>
          <w:szCs w:val="24"/>
        </w:rPr>
      </w:pPr>
      <w:r w:rsidRPr="004C6D84">
        <w:rPr>
          <w:rFonts w:ascii="Times New Roman" w:hAnsi="Times New Roman" w:cs="Times New Roman"/>
          <w:b/>
          <w:bCs/>
          <w:sz w:val="24"/>
          <w:szCs w:val="24"/>
        </w:rPr>
        <w:t>5.4. Perceived Benefits</w:t>
      </w:r>
    </w:p>
    <w:p w14:paraId="28ADE2C4" w14:textId="0101C79E" w:rsidR="004C6D84" w:rsidRDefault="004C6D84" w:rsidP="004C6D84">
      <w:pPr>
        <w:spacing w:line="480" w:lineRule="auto"/>
        <w:jc w:val="both"/>
        <w:rPr>
          <w:rFonts w:ascii="Times New Roman" w:hAnsi="Times New Roman" w:cs="Times New Roman"/>
          <w:sz w:val="24"/>
          <w:szCs w:val="24"/>
        </w:rPr>
      </w:pPr>
      <w:r w:rsidRPr="004C6D84">
        <w:rPr>
          <w:rFonts w:ascii="Times New Roman" w:hAnsi="Times New Roman" w:cs="Times New Roman"/>
          <w:sz w:val="24"/>
          <w:szCs w:val="24"/>
        </w:rPr>
        <w:t>The recognition of multiple benefits—soil fertility enhancement, avoidance of chemicals, cost-effectiveness, and support for soil microbes—is in line with Dahlin et al. (2016), who highlighted environmental and health considerations as major motivators in the use of organic fertilizers. Habanyathi et al. (2024) also reported increasing sustainability awareness among Tamil Nadu farmers, which complements the findings of the present study.</w:t>
      </w:r>
    </w:p>
    <w:p w14:paraId="018F2465" w14:textId="769DE76C" w:rsidR="004C6D84" w:rsidRPr="004C6D84" w:rsidRDefault="004C6D84" w:rsidP="004C6D84">
      <w:pPr>
        <w:spacing w:line="480" w:lineRule="auto"/>
        <w:jc w:val="both"/>
        <w:rPr>
          <w:rFonts w:ascii="Times New Roman" w:hAnsi="Times New Roman" w:cs="Times New Roman"/>
          <w:b/>
          <w:bCs/>
          <w:sz w:val="24"/>
          <w:szCs w:val="24"/>
        </w:rPr>
      </w:pPr>
      <w:r w:rsidRPr="004C6D84">
        <w:rPr>
          <w:rFonts w:ascii="Times New Roman" w:hAnsi="Times New Roman" w:cs="Times New Roman"/>
          <w:b/>
          <w:bCs/>
          <w:sz w:val="24"/>
          <w:szCs w:val="24"/>
        </w:rPr>
        <w:t>5.5. Constraints</w:t>
      </w:r>
    </w:p>
    <w:p w14:paraId="394180F0" w14:textId="1E3B5919" w:rsidR="004C6D84" w:rsidRDefault="004C6D84" w:rsidP="004C6D84">
      <w:pPr>
        <w:spacing w:line="480" w:lineRule="auto"/>
        <w:jc w:val="both"/>
        <w:rPr>
          <w:rFonts w:ascii="Times New Roman" w:hAnsi="Times New Roman" w:cs="Times New Roman"/>
          <w:sz w:val="24"/>
          <w:szCs w:val="24"/>
        </w:rPr>
      </w:pPr>
      <w:r w:rsidRPr="004C6D84">
        <w:rPr>
          <w:rFonts w:ascii="Times New Roman" w:hAnsi="Times New Roman" w:cs="Times New Roman"/>
          <w:sz w:val="24"/>
          <w:szCs w:val="24"/>
        </w:rPr>
        <w:t>Non-availability of organic manures, reported by 63% of respondents, is consistent with supply-side limitations discussed by Sudhalakshmi et al. (2024) in Tamil Nadu and Kormawa et al. (2003) in Benin. The difficulty of handling large quantities, mentioned by 18% of respondents, similarly reflects the challenges of bulkiness reported in several African studies (Nkeme et al., 2015). Concerns over initial yield reduction, although cited by only 8% of farmers, parallel the observations of Aryal et al. (2021), who noted that fear of yield decline remains a major deterrent to adoption across South Asia.</w:t>
      </w:r>
    </w:p>
    <w:p w14:paraId="701BA687" w14:textId="16950B8F" w:rsidR="004C6D84" w:rsidRPr="004C6D84" w:rsidRDefault="004C6D84" w:rsidP="004C6D84">
      <w:pPr>
        <w:spacing w:line="480" w:lineRule="auto"/>
        <w:jc w:val="both"/>
        <w:rPr>
          <w:rFonts w:ascii="Times New Roman" w:hAnsi="Times New Roman" w:cs="Times New Roman"/>
          <w:b/>
          <w:bCs/>
          <w:sz w:val="24"/>
          <w:szCs w:val="24"/>
        </w:rPr>
      </w:pPr>
      <w:r w:rsidRPr="004C6D84">
        <w:rPr>
          <w:rFonts w:ascii="Times New Roman" w:hAnsi="Times New Roman" w:cs="Times New Roman"/>
          <w:b/>
          <w:bCs/>
          <w:sz w:val="24"/>
          <w:szCs w:val="24"/>
        </w:rPr>
        <w:t>5.6. Unique Contribution</w:t>
      </w:r>
    </w:p>
    <w:p w14:paraId="70B24F27" w14:textId="77777777" w:rsidR="004C6D84" w:rsidRDefault="004C6D84" w:rsidP="00C85847">
      <w:pPr>
        <w:spacing w:line="480" w:lineRule="auto"/>
        <w:jc w:val="both"/>
        <w:rPr>
          <w:rFonts w:ascii="Times New Roman" w:hAnsi="Times New Roman" w:cs="Times New Roman"/>
          <w:sz w:val="24"/>
          <w:szCs w:val="24"/>
        </w:rPr>
      </w:pPr>
      <w:r w:rsidRPr="004C6D84">
        <w:rPr>
          <w:rFonts w:ascii="Times New Roman" w:hAnsi="Times New Roman" w:cs="Times New Roman"/>
          <w:sz w:val="24"/>
          <w:szCs w:val="24"/>
        </w:rPr>
        <w:t>Unlike many of the studies reviewed, which found mixed attitudes toward organic inputs (e.g., Fasina, 2013; Nkeme et al., 2015), the Pollachi farmers surveyed in this study showed unanimous preference for organics. This complete attitudinal alignment suggests a stronger readiness for transition, provided that infrastructural, financial, and institutional barriers are addressed.</w:t>
      </w:r>
    </w:p>
    <w:p w14:paraId="7C11A41B" w14:textId="44DFD87B" w:rsidR="00C85847" w:rsidRPr="00C85847" w:rsidRDefault="004C6D84" w:rsidP="00C85847">
      <w:pPr>
        <w:spacing w:line="48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6</w:t>
      </w:r>
      <w:r w:rsidR="00244F74">
        <w:rPr>
          <w:rFonts w:ascii="Times New Roman" w:hAnsi="Times New Roman" w:cs="Times New Roman"/>
          <w:b/>
          <w:bCs/>
          <w:sz w:val="24"/>
          <w:szCs w:val="24"/>
        </w:rPr>
        <w:t xml:space="preserve">. </w:t>
      </w:r>
      <w:r w:rsidR="00C85847" w:rsidRPr="00C85847">
        <w:rPr>
          <w:rFonts w:ascii="Times New Roman" w:hAnsi="Times New Roman" w:cs="Times New Roman"/>
          <w:b/>
          <w:bCs/>
          <w:sz w:val="24"/>
          <w:szCs w:val="24"/>
        </w:rPr>
        <w:t>Conclusion</w:t>
      </w:r>
    </w:p>
    <w:p w14:paraId="4BD195E5" w14:textId="77777777" w:rsidR="00C85847" w:rsidRPr="00C85847" w:rsidRDefault="00C85847" w:rsidP="00C85847">
      <w:pPr>
        <w:spacing w:line="480" w:lineRule="auto"/>
        <w:jc w:val="both"/>
        <w:rPr>
          <w:rFonts w:ascii="Times New Roman" w:hAnsi="Times New Roman" w:cs="Times New Roman"/>
          <w:sz w:val="24"/>
          <w:szCs w:val="24"/>
        </w:rPr>
      </w:pPr>
      <w:r w:rsidRPr="00C85847">
        <w:rPr>
          <w:rFonts w:ascii="Times New Roman" w:hAnsi="Times New Roman" w:cs="Times New Roman"/>
          <w:sz w:val="24"/>
          <w:szCs w:val="24"/>
        </w:rPr>
        <w:t>The study highlights a growing awareness and preference for organic fertilizers among farmers in the Pollachi region. Despite the widespread use of inorganic fertilizers, all surveyed farmers expressed a strong inclination toward organic inputs, particularly bulky manures, reflecting both environmental and economic motivations. Key benefits identified include improved soil fertility, avoidance of chemical residues, support for soil microbes, and cost-effectiveness.</w:t>
      </w:r>
    </w:p>
    <w:p w14:paraId="42705639" w14:textId="77777777" w:rsidR="00C85847" w:rsidRPr="00C85847" w:rsidRDefault="00C85847" w:rsidP="00C85847">
      <w:pPr>
        <w:spacing w:line="480" w:lineRule="auto"/>
        <w:jc w:val="both"/>
        <w:rPr>
          <w:rFonts w:ascii="Times New Roman" w:hAnsi="Times New Roman" w:cs="Times New Roman"/>
          <w:sz w:val="24"/>
          <w:szCs w:val="24"/>
        </w:rPr>
      </w:pPr>
      <w:r w:rsidRPr="00C85847">
        <w:rPr>
          <w:rFonts w:ascii="Times New Roman" w:hAnsi="Times New Roman" w:cs="Times New Roman"/>
          <w:sz w:val="24"/>
          <w:szCs w:val="24"/>
        </w:rPr>
        <w:t>However, adoption is constrained by challenges such as non-availability of organic manures, the large quantities required, dependence on off-farm resources, and concerns over initial yield reductions. Socio-economic factors, including age, literacy, landholding size, and income, were found to influence adoption behavior, indicating the need for targeted interventions.</w:t>
      </w:r>
    </w:p>
    <w:p w14:paraId="6AA88EFD" w14:textId="77777777" w:rsidR="00C85847" w:rsidRPr="00C85847" w:rsidRDefault="00C85847" w:rsidP="00C85847">
      <w:pPr>
        <w:spacing w:line="480" w:lineRule="auto"/>
        <w:jc w:val="both"/>
        <w:rPr>
          <w:rFonts w:ascii="Times New Roman" w:hAnsi="Times New Roman" w:cs="Times New Roman"/>
          <w:sz w:val="24"/>
          <w:szCs w:val="24"/>
        </w:rPr>
      </w:pPr>
      <w:r w:rsidRPr="00C85847">
        <w:rPr>
          <w:rFonts w:ascii="Times New Roman" w:hAnsi="Times New Roman" w:cs="Times New Roman"/>
          <w:sz w:val="24"/>
          <w:szCs w:val="24"/>
        </w:rPr>
        <w:t>To enhance organic fertilizer adoption, region-specific strategies are recommended, including strengthening local supply chains, providing extension services and training, promoting awareness programs, and supporting smallholders with technical and financial assistance.</w:t>
      </w:r>
    </w:p>
    <w:p w14:paraId="5F826849" w14:textId="77777777" w:rsidR="00C85847" w:rsidRDefault="00C85847" w:rsidP="00C85847">
      <w:pPr>
        <w:spacing w:line="480" w:lineRule="auto"/>
        <w:jc w:val="both"/>
        <w:rPr>
          <w:rFonts w:ascii="Times New Roman" w:hAnsi="Times New Roman" w:cs="Times New Roman"/>
          <w:sz w:val="24"/>
          <w:szCs w:val="24"/>
        </w:rPr>
      </w:pPr>
      <w:r w:rsidRPr="00C85847">
        <w:rPr>
          <w:rFonts w:ascii="Times New Roman" w:hAnsi="Times New Roman" w:cs="Times New Roman"/>
          <w:sz w:val="24"/>
          <w:szCs w:val="24"/>
        </w:rPr>
        <w:t>Future research could expand the sample size to include more diverse farming systems, examine long-term impacts of organic fertilizer use on productivity and soil health, and explore innovative approaches for producing and distributing organic inputs locally. Such studies would provide deeper insights to support sustainable agriculture and environmentally friendly farming practices in the Pollachi region and similar agro-ecological zones.</w:t>
      </w:r>
    </w:p>
    <w:p w14:paraId="64E9639A" w14:textId="77777777" w:rsidR="00D86D5D" w:rsidRDefault="00D86D5D" w:rsidP="00D86D5D">
      <w:pPr>
        <w:spacing w:line="480" w:lineRule="auto"/>
        <w:jc w:val="both"/>
        <w:rPr>
          <w:rFonts w:ascii="Times New Roman" w:hAnsi="Times New Roman" w:cs="Times New Roman"/>
          <w:b/>
          <w:bCs/>
          <w:sz w:val="24"/>
          <w:szCs w:val="24"/>
        </w:rPr>
      </w:pPr>
    </w:p>
    <w:p w14:paraId="341A74EA" w14:textId="77777777" w:rsidR="00D86D5D" w:rsidRDefault="00D86D5D" w:rsidP="00D86D5D">
      <w:pPr>
        <w:spacing w:line="480" w:lineRule="auto"/>
        <w:jc w:val="both"/>
        <w:rPr>
          <w:rFonts w:ascii="Times New Roman" w:hAnsi="Times New Roman" w:cs="Times New Roman"/>
          <w:b/>
          <w:bCs/>
          <w:sz w:val="24"/>
          <w:szCs w:val="24"/>
        </w:rPr>
      </w:pPr>
    </w:p>
    <w:p w14:paraId="140DF444" w14:textId="77777777" w:rsidR="00D86D5D" w:rsidRDefault="00D86D5D" w:rsidP="00D86D5D">
      <w:pPr>
        <w:spacing w:line="480" w:lineRule="auto"/>
        <w:jc w:val="both"/>
        <w:rPr>
          <w:rFonts w:ascii="Times New Roman" w:hAnsi="Times New Roman" w:cs="Times New Roman"/>
          <w:b/>
          <w:bCs/>
          <w:sz w:val="24"/>
          <w:szCs w:val="24"/>
        </w:rPr>
      </w:pPr>
    </w:p>
    <w:p w14:paraId="72D90169" w14:textId="77777777" w:rsidR="00D86D5D" w:rsidRDefault="00D86D5D" w:rsidP="00D86D5D">
      <w:pPr>
        <w:spacing w:line="480" w:lineRule="auto"/>
        <w:jc w:val="both"/>
        <w:rPr>
          <w:rFonts w:ascii="Times New Roman" w:hAnsi="Times New Roman" w:cs="Times New Roman"/>
          <w:b/>
          <w:bCs/>
          <w:sz w:val="24"/>
          <w:szCs w:val="24"/>
        </w:rPr>
      </w:pPr>
    </w:p>
    <w:p w14:paraId="5929C1BC" w14:textId="77777777" w:rsidR="00D86D5D" w:rsidRDefault="00D86D5D" w:rsidP="00D86D5D">
      <w:pPr>
        <w:spacing w:line="480" w:lineRule="auto"/>
        <w:jc w:val="both"/>
        <w:rPr>
          <w:rFonts w:ascii="Times New Roman" w:hAnsi="Times New Roman" w:cs="Times New Roman"/>
          <w:b/>
          <w:bCs/>
          <w:sz w:val="24"/>
          <w:szCs w:val="24"/>
        </w:rPr>
      </w:pPr>
    </w:p>
    <w:p w14:paraId="4DC1AD54" w14:textId="1186299A" w:rsidR="00D86D5D" w:rsidRPr="00D86D5D" w:rsidRDefault="00D86D5D" w:rsidP="00D86D5D">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7. </w:t>
      </w:r>
      <w:r w:rsidRPr="00D86D5D">
        <w:rPr>
          <w:rFonts w:ascii="Times New Roman" w:hAnsi="Times New Roman" w:cs="Times New Roman"/>
          <w:b/>
          <w:bCs/>
          <w:sz w:val="24"/>
          <w:szCs w:val="24"/>
        </w:rPr>
        <w:t>Recommendation</w:t>
      </w:r>
      <w:r>
        <w:rPr>
          <w:rFonts w:ascii="Times New Roman" w:hAnsi="Times New Roman" w:cs="Times New Roman"/>
          <w:b/>
          <w:bCs/>
          <w:sz w:val="24"/>
          <w:szCs w:val="24"/>
        </w:rPr>
        <w:t>s</w:t>
      </w:r>
    </w:p>
    <w:p w14:paraId="603CB04D" w14:textId="6113E001" w:rsidR="00D86D5D" w:rsidRPr="00D86D5D" w:rsidRDefault="00D86D5D" w:rsidP="00D86D5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D86D5D">
        <w:rPr>
          <w:rFonts w:ascii="Times New Roman" w:hAnsi="Times New Roman" w:cs="Times New Roman"/>
          <w:sz w:val="24"/>
          <w:szCs w:val="24"/>
        </w:rPr>
        <w:t>The non-availability of bulky manures, reported by 63% of respondents, indicates the need for localized composting and bio-fertilizer production units at the FPO or village level. Decentralized input supply is critical for organic adoption (Habanyathi et al., 2024).</w:t>
      </w:r>
    </w:p>
    <w:p w14:paraId="134470BD" w14:textId="2E455B7B" w:rsidR="00D86D5D" w:rsidRPr="00D86D5D" w:rsidRDefault="00D86D5D" w:rsidP="00D86D5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D86D5D">
        <w:rPr>
          <w:rFonts w:ascii="Times New Roman" w:hAnsi="Times New Roman" w:cs="Times New Roman"/>
          <w:sz w:val="24"/>
          <w:szCs w:val="24"/>
        </w:rPr>
        <w:t>Many respondents fall within the middle-income bracket (₹1–2.5 lakh), making bulk procurement of organic inputs financially challenging. Subsidies for transportation and government incentives for compost preparation can reduce adoption barriers. Financial incentives have been identified as a key driver of organic adoption across South Asia (Aryal et al., 2021).</w:t>
      </w:r>
    </w:p>
    <w:p w14:paraId="43A5B251" w14:textId="711F00FC" w:rsidR="00D86D5D" w:rsidRPr="00D86D5D" w:rsidRDefault="00D86D5D" w:rsidP="00D86D5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D86D5D">
        <w:rPr>
          <w:rFonts w:ascii="Times New Roman" w:hAnsi="Times New Roman" w:cs="Times New Roman"/>
          <w:sz w:val="24"/>
          <w:szCs w:val="24"/>
        </w:rPr>
        <w:t>Despite recognizing the benefits of organic inputs, 8% of farmers expressed concerns about initial yield reduction. Targeted awareness programs, demonstrations, and farmer field schools can help overcome skepticism. Extension contact significantly increases positive perception and adoption of organics (Shehu et al., 2016).</w:t>
      </w:r>
    </w:p>
    <w:p w14:paraId="4578048C" w14:textId="77777777" w:rsidR="00D86D5D" w:rsidRDefault="00D86D5D" w:rsidP="00D86D5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D86D5D">
        <w:rPr>
          <w:rFonts w:ascii="Times New Roman" w:hAnsi="Times New Roman" w:cs="Times New Roman"/>
          <w:sz w:val="24"/>
          <w:szCs w:val="24"/>
        </w:rPr>
        <w:t xml:space="preserve"> A phased approach combining organic and inorganic fertilizers can mitigate risks of yield decline during transition. Integrating both sources helps maintain soil fertility and productivity while reducing chemical dependence (Shukla et al., 2022).</w:t>
      </w:r>
    </w:p>
    <w:p w14:paraId="657E4CEE" w14:textId="26F66C86" w:rsidR="00D86D5D" w:rsidRPr="00D86D5D" w:rsidRDefault="00D86D5D" w:rsidP="00D86D5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D86D5D">
        <w:rPr>
          <w:rFonts w:ascii="Times New Roman" w:hAnsi="Times New Roman" w:cs="Times New Roman"/>
          <w:sz w:val="24"/>
          <w:szCs w:val="24"/>
        </w:rPr>
        <w:t xml:space="preserve"> Farmers’ preference for organic farming can be transformed into economic benefits by linking them with certification agencies and premium markets. Consumer demand for labeled, chemical-free produce drives adoption of organic practices (Dahlin et al., 2016).</w:t>
      </w:r>
    </w:p>
    <w:p w14:paraId="395A27F2" w14:textId="0DD11DE2" w:rsidR="00D86D5D" w:rsidRPr="00D86D5D" w:rsidRDefault="00D86D5D" w:rsidP="00D86D5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D86D5D">
        <w:rPr>
          <w:rFonts w:ascii="Times New Roman" w:hAnsi="Times New Roman" w:cs="Times New Roman"/>
          <w:sz w:val="24"/>
          <w:szCs w:val="24"/>
        </w:rPr>
        <w:t xml:space="preserve"> Dependence on off-farm resources (reported by 10% of respondents) highlights the potential of on-farm recycling of coconut husks, livestock dung, and crop residues. Access to composting materials at the farm level strongly supports organic fertilizer adoption (Abebe &amp; Debebe, 2019).</w:t>
      </w:r>
    </w:p>
    <w:p w14:paraId="52BB2E74" w14:textId="62ADC6DA" w:rsidR="00D86D5D" w:rsidRPr="00D86D5D" w:rsidRDefault="00D86D5D" w:rsidP="00D86D5D">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7. </w:t>
      </w:r>
      <w:r w:rsidRPr="00D86D5D">
        <w:rPr>
          <w:rFonts w:ascii="Times New Roman" w:hAnsi="Times New Roman" w:cs="Times New Roman"/>
          <w:sz w:val="24"/>
          <w:szCs w:val="24"/>
        </w:rPr>
        <w:t xml:space="preserve"> Since 18% of farmers reported difficulties handling large quantities of manure, investments in low-cost storage sheds and community-level transport services can reduce labor and cost constraints.</w:t>
      </w:r>
    </w:p>
    <w:p w14:paraId="71F1F32D" w14:textId="101CA444" w:rsidR="00D86D5D" w:rsidRPr="00D86D5D" w:rsidRDefault="00D86D5D" w:rsidP="00D86D5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Pr="00D86D5D">
        <w:rPr>
          <w:rFonts w:ascii="Times New Roman" w:hAnsi="Times New Roman" w:cs="Times New Roman"/>
          <w:sz w:val="24"/>
          <w:szCs w:val="24"/>
        </w:rPr>
        <w:t xml:space="preserve"> Younger farmers (25–39 years) were underrepresented (only 8%). Programs engaging youth and women in organic farming—such as entrepreneurship in composting and vermiculture units—can ensure continuity, innovation, and sustainable adoption.</w:t>
      </w:r>
    </w:p>
    <w:p w14:paraId="6A0AF9C9" w14:textId="6BB6E158" w:rsidR="00D86D5D" w:rsidRPr="00D86D5D" w:rsidRDefault="00D86D5D" w:rsidP="00D86D5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Pr="00D86D5D">
        <w:rPr>
          <w:rFonts w:ascii="Times New Roman" w:hAnsi="Times New Roman" w:cs="Times New Roman"/>
          <w:sz w:val="24"/>
          <w:szCs w:val="24"/>
        </w:rPr>
        <w:t>Collective action through FPOs can facilitate bulk procurement, marketing of organic produce, and training services. Strengthening FPOs directly supports sustainable fertilizer adoption, as evidenced by the survey conducted during an FPO meeting.</w:t>
      </w:r>
    </w:p>
    <w:p w14:paraId="421D7859" w14:textId="57A85773" w:rsidR="00D86D5D" w:rsidRDefault="00D86D5D" w:rsidP="00D86D5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10. </w:t>
      </w:r>
      <w:r w:rsidRPr="00D86D5D">
        <w:rPr>
          <w:rFonts w:ascii="Times New Roman" w:hAnsi="Times New Roman" w:cs="Times New Roman"/>
          <w:sz w:val="24"/>
          <w:szCs w:val="24"/>
        </w:rPr>
        <w:t xml:space="preserve"> Region-specific innovations—such as coconut husk composting, bio-slurry utilization, and microbial inoculants—should be promoted through participatory research. Collaboration between agricultural institutes and Pollachi farmers will ensure solutions are locally adapted and cost-effective.</w:t>
      </w:r>
    </w:p>
    <w:p w14:paraId="5481D647" w14:textId="2D107399" w:rsidR="00D86D5D" w:rsidRPr="00ED0D29" w:rsidRDefault="00D86D5D" w:rsidP="00D86D5D">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8. </w:t>
      </w:r>
      <w:r w:rsidRPr="00ED0D29">
        <w:rPr>
          <w:rFonts w:ascii="Times New Roman" w:hAnsi="Times New Roman" w:cs="Times New Roman"/>
          <w:b/>
          <w:bCs/>
          <w:sz w:val="24"/>
          <w:szCs w:val="24"/>
        </w:rPr>
        <w:t xml:space="preserve">Acknowledgement </w:t>
      </w:r>
    </w:p>
    <w:p w14:paraId="14063724" w14:textId="77777777" w:rsidR="00D86D5D" w:rsidRDefault="00D86D5D" w:rsidP="00D86D5D">
      <w:pPr>
        <w:spacing w:line="480" w:lineRule="auto"/>
        <w:jc w:val="both"/>
        <w:rPr>
          <w:rFonts w:ascii="Times New Roman" w:hAnsi="Times New Roman" w:cs="Times New Roman"/>
          <w:sz w:val="24"/>
          <w:szCs w:val="24"/>
        </w:rPr>
      </w:pPr>
      <w:r w:rsidRPr="00ED0D29">
        <w:rPr>
          <w:rFonts w:ascii="Times New Roman" w:hAnsi="Times New Roman" w:cs="Times New Roman"/>
          <w:sz w:val="24"/>
          <w:szCs w:val="24"/>
        </w:rPr>
        <w:t>The authors sincerely acknowledge Dr. K. Kalidas, MBA (ABM), Ph.D., Head of Department (Agricultural Economics), Vanavarayar Institute of Agriculture, for his invaluable guidance, mentorship, and support in completing this project. We also extend our gratitude to the Vanavarayar Institute of Agriculture, Pollachi, for providing the necessary facilities and support throughout the study.</w:t>
      </w:r>
    </w:p>
    <w:p w14:paraId="645964ED" w14:textId="77777777" w:rsidR="00D86D5D" w:rsidRPr="00D86D5D" w:rsidRDefault="00D86D5D" w:rsidP="00D86D5D">
      <w:pPr>
        <w:spacing w:line="480" w:lineRule="auto"/>
        <w:jc w:val="both"/>
        <w:rPr>
          <w:rFonts w:ascii="Times New Roman" w:hAnsi="Times New Roman" w:cs="Times New Roman"/>
          <w:sz w:val="24"/>
          <w:szCs w:val="24"/>
        </w:rPr>
      </w:pPr>
    </w:p>
    <w:p w14:paraId="029F4E68" w14:textId="77777777" w:rsidR="00D86D5D" w:rsidRPr="00D86D5D" w:rsidRDefault="00D86D5D" w:rsidP="00C85847">
      <w:pPr>
        <w:spacing w:line="480" w:lineRule="auto"/>
        <w:jc w:val="both"/>
        <w:rPr>
          <w:rFonts w:ascii="Times New Roman" w:hAnsi="Times New Roman" w:cs="Times New Roman"/>
          <w:sz w:val="24"/>
          <w:szCs w:val="24"/>
        </w:rPr>
      </w:pPr>
    </w:p>
    <w:p w14:paraId="1115B4B6" w14:textId="77777777" w:rsidR="004C6D84" w:rsidRDefault="004C6D84" w:rsidP="00C85847">
      <w:pPr>
        <w:spacing w:line="480" w:lineRule="auto"/>
        <w:jc w:val="both"/>
        <w:rPr>
          <w:rFonts w:ascii="Times New Roman" w:hAnsi="Times New Roman" w:cs="Times New Roman"/>
          <w:b/>
          <w:bCs/>
          <w:sz w:val="24"/>
          <w:szCs w:val="24"/>
        </w:rPr>
      </w:pPr>
    </w:p>
    <w:p w14:paraId="21CCF611" w14:textId="77777777" w:rsidR="004C6D84" w:rsidRDefault="004C6D84" w:rsidP="00C85847">
      <w:pPr>
        <w:spacing w:line="480" w:lineRule="auto"/>
        <w:jc w:val="both"/>
        <w:rPr>
          <w:rFonts w:ascii="Times New Roman" w:hAnsi="Times New Roman" w:cs="Times New Roman"/>
          <w:b/>
          <w:bCs/>
          <w:sz w:val="24"/>
          <w:szCs w:val="24"/>
        </w:rPr>
      </w:pPr>
    </w:p>
    <w:p w14:paraId="35251A8B" w14:textId="58FEC80B" w:rsidR="004D7A50" w:rsidRPr="00ED0D29" w:rsidRDefault="00D86D5D" w:rsidP="00C85847">
      <w:pPr>
        <w:spacing w:line="48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9</w:t>
      </w:r>
      <w:r w:rsidR="00244F74">
        <w:rPr>
          <w:rFonts w:ascii="Times New Roman" w:hAnsi="Times New Roman" w:cs="Times New Roman"/>
          <w:b/>
          <w:bCs/>
          <w:sz w:val="24"/>
          <w:szCs w:val="24"/>
        </w:rPr>
        <w:t xml:space="preserve">. </w:t>
      </w:r>
      <w:r w:rsidR="004D7A50" w:rsidRPr="004D7A50">
        <w:rPr>
          <w:rFonts w:ascii="Times New Roman" w:hAnsi="Times New Roman" w:cs="Times New Roman"/>
          <w:b/>
          <w:bCs/>
          <w:sz w:val="24"/>
          <w:szCs w:val="24"/>
        </w:rPr>
        <w:t>References</w:t>
      </w:r>
    </w:p>
    <w:p w14:paraId="55CF845D" w14:textId="77777777" w:rsidR="004D7A50" w:rsidRDefault="004D7A50" w:rsidP="00C85847">
      <w:pPr>
        <w:spacing w:line="480" w:lineRule="auto"/>
        <w:jc w:val="both"/>
        <w:rPr>
          <w:rFonts w:ascii="Times New Roman" w:hAnsi="Times New Roman" w:cs="Times New Roman"/>
          <w:sz w:val="24"/>
          <w:szCs w:val="24"/>
        </w:rPr>
      </w:pPr>
      <w:r w:rsidRPr="00B6430D">
        <w:rPr>
          <w:rFonts w:ascii="Times New Roman" w:hAnsi="Times New Roman" w:cs="Times New Roman"/>
          <w:sz w:val="24"/>
          <w:szCs w:val="24"/>
        </w:rPr>
        <w:t xml:space="preserve">Abebe, G. &amp; Debebe, S. (2019). Factors affecting use of organic fertilizer among smallholder farmers in Sekela district of Amhara region, Northwestern Ethiopia. </w:t>
      </w:r>
      <w:r w:rsidRPr="00B6430D">
        <w:rPr>
          <w:rFonts w:ascii="Times New Roman" w:hAnsi="Times New Roman" w:cs="Times New Roman"/>
          <w:i/>
          <w:iCs/>
          <w:sz w:val="24"/>
          <w:szCs w:val="24"/>
        </w:rPr>
        <w:t>Cogent Food &amp; Agriculture</w:t>
      </w:r>
      <w:r w:rsidRPr="00B6430D">
        <w:rPr>
          <w:rFonts w:ascii="Times New Roman" w:hAnsi="Times New Roman" w:cs="Times New Roman"/>
          <w:sz w:val="24"/>
          <w:szCs w:val="24"/>
        </w:rPr>
        <w:t xml:space="preserve">, 5(1), 1669398. </w:t>
      </w:r>
      <w:hyperlink r:id="rId20" w:tgtFrame="_new" w:history="1">
        <w:r w:rsidRPr="00B6430D">
          <w:rPr>
            <w:rStyle w:val="Hyperlink"/>
            <w:rFonts w:ascii="Times New Roman" w:hAnsi="Times New Roman" w:cs="Times New Roman"/>
            <w:sz w:val="24"/>
            <w:szCs w:val="24"/>
          </w:rPr>
          <w:t>https://doi.org/10.1080/23311932.2019.1669398</w:t>
        </w:r>
      </w:hyperlink>
    </w:p>
    <w:p w14:paraId="1515B4EF" w14:textId="77777777" w:rsidR="004D7A50" w:rsidRDefault="004D7A50" w:rsidP="00E8320D">
      <w:pPr>
        <w:spacing w:line="480" w:lineRule="auto"/>
        <w:jc w:val="both"/>
        <w:rPr>
          <w:rFonts w:ascii="Times New Roman" w:hAnsi="Times New Roman" w:cs="Times New Roman"/>
          <w:sz w:val="24"/>
          <w:szCs w:val="24"/>
        </w:rPr>
      </w:pPr>
      <w:r w:rsidRPr="006C40B4">
        <w:rPr>
          <w:rFonts w:ascii="Times New Roman" w:hAnsi="Times New Roman" w:cs="Times New Roman"/>
          <w:sz w:val="24"/>
          <w:szCs w:val="24"/>
        </w:rPr>
        <w:t>Aggarwal, A. (201</w:t>
      </w:r>
      <w:r>
        <w:rPr>
          <w:rFonts w:ascii="Times New Roman" w:hAnsi="Times New Roman" w:cs="Times New Roman"/>
          <w:sz w:val="24"/>
          <w:szCs w:val="24"/>
        </w:rPr>
        <w:t>4</w:t>
      </w:r>
      <w:r w:rsidRPr="006C40B4">
        <w:rPr>
          <w:rFonts w:ascii="Times New Roman" w:hAnsi="Times New Roman" w:cs="Times New Roman"/>
          <w:sz w:val="24"/>
          <w:szCs w:val="24"/>
        </w:rPr>
        <w:t xml:space="preserve">). Fertilizer trade in India: Organic and chemical fertilizer market scenario. </w:t>
      </w:r>
      <w:r w:rsidRPr="006C40B4">
        <w:rPr>
          <w:rFonts w:ascii="Times New Roman" w:hAnsi="Times New Roman" w:cs="Times New Roman"/>
          <w:i/>
          <w:iCs/>
          <w:sz w:val="24"/>
          <w:szCs w:val="24"/>
        </w:rPr>
        <w:t>Academia.edu</w:t>
      </w:r>
      <w:r w:rsidRPr="006C40B4">
        <w:rPr>
          <w:rFonts w:ascii="Times New Roman" w:hAnsi="Times New Roman" w:cs="Times New Roman"/>
          <w:sz w:val="24"/>
          <w:szCs w:val="24"/>
        </w:rPr>
        <w:t xml:space="preserve">. Available at: </w:t>
      </w:r>
      <w:hyperlink r:id="rId21" w:tgtFrame="_new" w:history="1">
        <w:r w:rsidRPr="006C40B4">
          <w:rPr>
            <w:rStyle w:val="Hyperlink"/>
            <w:rFonts w:ascii="Times New Roman" w:hAnsi="Times New Roman" w:cs="Times New Roman"/>
            <w:sz w:val="24"/>
            <w:szCs w:val="24"/>
          </w:rPr>
          <w:t>https://www.academia.edu/36900329/Fertilizer_Trade</w:t>
        </w:r>
      </w:hyperlink>
    </w:p>
    <w:p w14:paraId="7CCB03CC" w14:textId="77777777" w:rsidR="004D7A50" w:rsidRDefault="004D7A50" w:rsidP="00CC423B">
      <w:pPr>
        <w:spacing w:line="480" w:lineRule="auto"/>
        <w:jc w:val="both"/>
        <w:rPr>
          <w:rFonts w:ascii="Times New Roman" w:hAnsi="Times New Roman" w:cs="Times New Roman"/>
          <w:sz w:val="24"/>
          <w:szCs w:val="24"/>
        </w:rPr>
      </w:pPr>
      <w:r w:rsidRPr="0058075B">
        <w:rPr>
          <w:rFonts w:ascii="Times New Roman" w:hAnsi="Times New Roman" w:cs="Times New Roman"/>
          <w:sz w:val="24"/>
          <w:szCs w:val="24"/>
        </w:rPr>
        <w:t xml:space="preserve">Aryal, J.P., Sapkota, T.B., Krupnik, T.J., et al. (2021). Factors affecting farmers’ use of organic and inorganic fertilizers in South Asia. </w:t>
      </w:r>
      <w:r w:rsidRPr="0058075B">
        <w:rPr>
          <w:rFonts w:ascii="Times New Roman" w:hAnsi="Times New Roman" w:cs="Times New Roman"/>
          <w:i/>
          <w:iCs/>
          <w:sz w:val="24"/>
          <w:szCs w:val="24"/>
        </w:rPr>
        <w:t>Environmental Science and Pollution Research</w:t>
      </w:r>
      <w:r w:rsidRPr="0058075B">
        <w:rPr>
          <w:rFonts w:ascii="Times New Roman" w:hAnsi="Times New Roman" w:cs="Times New Roman"/>
          <w:sz w:val="24"/>
          <w:szCs w:val="24"/>
        </w:rPr>
        <w:t xml:space="preserve">, 28, pp.51480–51496. </w:t>
      </w:r>
      <w:hyperlink r:id="rId22" w:tgtFrame="_new" w:history="1">
        <w:r w:rsidRPr="0058075B">
          <w:rPr>
            <w:rStyle w:val="Hyperlink"/>
            <w:rFonts w:ascii="Times New Roman" w:hAnsi="Times New Roman" w:cs="Times New Roman"/>
            <w:sz w:val="24"/>
            <w:szCs w:val="24"/>
          </w:rPr>
          <w:t>https://doi.org/10.1007/s11356-021-13975-7</w:t>
        </w:r>
      </w:hyperlink>
    </w:p>
    <w:p w14:paraId="135D942F" w14:textId="77777777" w:rsidR="004D7A50" w:rsidRDefault="004D7A50" w:rsidP="00C85847">
      <w:pPr>
        <w:spacing w:line="480" w:lineRule="auto"/>
        <w:jc w:val="both"/>
        <w:rPr>
          <w:rFonts w:ascii="Times New Roman" w:hAnsi="Times New Roman" w:cs="Times New Roman"/>
          <w:sz w:val="24"/>
          <w:szCs w:val="24"/>
        </w:rPr>
      </w:pPr>
      <w:r w:rsidRPr="003F6046">
        <w:rPr>
          <w:rFonts w:ascii="Times New Roman" w:hAnsi="Times New Roman" w:cs="Times New Roman"/>
          <w:sz w:val="24"/>
          <w:szCs w:val="24"/>
        </w:rPr>
        <w:t xml:space="preserve">Aryal, J.P., Sapkota, T.B., Krupnik, T.J., Stirling, C.M., et al. (2021). Factors affecting farmers’ use of inorganic fertilizers and manure in South Asia. </w:t>
      </w:r>
      <w:r w:rsidRPr="003F6046">
        <w:rPr>
          <w:rFonts w:ascii="Times New Roman" w:hAnsi="Times New Roman" w:cs="Times New Roman"/>
          <w:i/>
          <w:iCs/>
          <w:sz w:val="24"/>
          <w:szCs w:val="24"/>
        </w:rPr>
        <w:t>Research Square</w:t>
      </w:r>
      <w:r w:rsidRPr="003F6046">
        <w:rPr>
          <w:rFonts w:ascii="Times New Roman" w:hAnsi="Times New Roman" w:cs="Times New Roman"/>
          <w:sz w:val="24"/>
          <w:szCs w:val="24"/>
        </w:rPr>
        <w:t xml:space="preserve">. </w:t>
      </w:r>
      <w:hyperlink r:id="rId23" w:history="1">
        <w:r w:rsidRPr="00033819">
          <w:rPr>
            <w:rStyle w:val="Hyperlink"/>
            <w:rFonts w:ascii="Times New Roman" w:hAnsi="Times New Roman" w:cs="Times New Roman"/>
            <w:sz w:val="24"/>
            <w:szCs w:val="24"/>
          </w:rPr>
          <w:t>https://doi.org/10.21203/rs.3.rs-206349/v1</w:t>
        </w:r>
      </w:hyperlink>
    </w:p>
    <w:p w14:paraId="080A9848" w14:textId="77777777" w:rsidR="004D7A50" w:rsidRDefault="004D7A50" w:rsidP="00CC423B">
      <w:pPr>
        <w:spacing w:line="480" w:lineRule="auto"/>
        <w:jc w:val="both"/>
        <w:rPr>
          <w:rFonts w:ascii="Times New Roman" w:hAnsi="Times New Roman" w:cs="Times New Roman"/>
          <w:sz w:val="24"/>
          <w:szCs w:val="24"/>
        </w:rPr>
      </w:pPr>
      <w:r w:rsidRPr="00CB2831">
        <w:rPr>
          <w:rFonts w:ascii="Times New Roman" w:hAnsi="Times New Roman" w:cs="Times New Roman"/>
          <w:sz w:val="24"/>
          <w:szCs w:val="24"/>
        </w:rPr>
        <w:t xml:space="preserve">Chinnappan, S., Vasuki, V., Gopalakrishnan, M. &amp; Rani, S. (2024). Evaluating groundnut yield and resilience under resource constraints in Pollachi Taluk, Coimbatore District, Tamil Nadu, India. </w:t>
      </w:r>
      <w:r w:rsidRPr="00CB2831">
        <w:rPr>
          <w:rFonts w:ascii="Times New Roman" w:hAnsi="Times New Roman" w:cs="Times New Roman"/>
          <w:i/>
          <w:iCs/>
          <w:sz w:val="24"/>
          <w:szCs w:val="24"/>
        </w:rPr>
        <w:t>Journal of Experimental Agriculture International</w:t>
      </w:r>
      <w:r w:rsidRPr="00CB2831">
        <w:rPr>
          <w:rFonts w:ascii="Times New Roman" w:hAnsi="Times New Roman" w:cs="Times New Roman"/>
          <w:sz w:val="24"/>
          <w:szCs w:val="24"/>
        </w:rPr>
        <w:t xml:space="preserve">, 46(10), pp.712–720. </w:t>
      </w:r>
      <w:hyperlink r:id="rId24" w:history="1">
        <w:r w:rsidRPr="00033819">
          <w:rPr>
            <w:rStyle w:val="Hyperlink"/>
            <w:rFonts w:ascii="Times New Roman" w:hAnsi="Times New Roman" w:cs="Times New Roman"/>
            <w:sz w:val="24"/>
            <w:szCs w:val="24"/>
          </w:rPr>
          <w:t>https://doi.org/10.9734/jeai/2024/v46i102994</w:t>
        </w:r>
      </w:hyperlink>
      <w:r>
        <w:rPr>
          <w:rFonts w:ascii="Times New Roman" w:hAnsi="Times New Roman" w:cs="Times New Roman"/>
          <w:sz w:val="24"/>
          <w:szCs w:val="24"/>
        </w:rPr>
        <w:t xml:space="preserve"> </w:t>
      </w:r>
    </w:p>
    <w:p w14:paraId="1980C765" w14:textId="77777777" w:rsidR="004D7A50" w:rsidRDefault="004D7A50" w:rsidP="00C03DF2">
      <w:pPr>
        <w:spacing w:line="480" w:lineRule="auto"/>
        <w:jc w:val="both"/>
        <w:rPr>
          <w:rFonts w:ascii="Times New Roman" w:hAnsi="Times New Roman" w:cs="Times New Roman"/>
          <w:sz w:val="24"/>
          <w:szCs w:val="24"/>
        </w:rPr>
      </w:pPr>
      <w:r w:rsidRPr="00C03DF2">
        <w:rPr>
          <w:rFonts w:ascii="Times New Roman" w:hAnsi="Times New Roman" w:cs="Times New Roman"/>
          <w:sz w:val="24"/>
          <w:szCs w:val="24"/>
        </w:rPr>
        <w:t xml:space="preserve">Dahlin, J., Halbherr, V., Kurz, P., Herbes, C., et al. (2016). Marketing green fertilizers: Insights into consumer preferences. </w:t>
      </w:r>
      <w:r w:rsidRPr="00C03DF2">
        <w:rPr>
          <w:rFonts w:ascii="Times New Roman" w:hAnsi="Times New Roman" w:cs="Times New Roman"/>
          <w:i/>
          <w:iCs/>
          <w:sz w:val="24"/>
          <w:szCs w:val="24"/>
        </w:rPr>
        <w:t>Sustainability</w:t>
      </w:r>
      <w:r w:rsidRPr="00C03DF2">
        <w:rPr>
          <w:rFonts w:ascii="Times New Roman" w:hAnsi="Times New Roman" w:cs="Times New Roman"/>
          <w:sz w:val="24"/>
          <w:szCs w:val="24"/>
        </w:rPr>
        <w:t xml:space="preserve">, 8(11), 1169. </w:t>
      </w:r>
      <w:hyperlink r:id="rId25" w:history="1">
        <w:r w:rsidRPr="00C03DF2">
          <w:rPr>
            <w:rStyle w:val="Hyperlink"/>
            <w:rFonts w:ascii="Times New Roman" w:hAnsi="Times New Roman" w:cs="Times New Roman"/>
            <w:sz w:val="24"/>
            <w:szCs w:val="24"/>
          </w:rPr>
          <w:t>https://doi.org/10.3390/su8111169</w:t>
        </w:r>
      </w:hyperlink>
      <w:r>
        <w:rPr>
          <w:rFonts w:ascii="Times New Roman" w:hAnsi="Times New Roman" w:cs="Times New Roman"/>
          <w:sz w:val="24"/>
          <w:szCs w:val="24"/>
        </w:rPr>
        <w:t xml:space="preserve"> </w:t>
      </w:r>
    </w:p>
    <w:p w14:paraId="7C6E1ADF" w14:textId="77777777" w:rsidR="004D7A50" w:rsidRDefault="004D7A50" w:rsidP="00C85847">
      <w:pPr>
        <w:spacing w:line="480" w:lineRule="auto"/>
        <w:jc w:val="both"/>
        <w:rPr>
          <w:rFonts w:ascii="Times New Roman" w:hAnsi="Times New Roman" w:cs="Times New Roman"/>
          <w:sz w:val="24"/>
          <w:szCs w:val="24"/>
        </w:rPr>
      </w:pPr>
      <w:r w:rsidRPr="003F6046">
        <w:rPr>
          <w:rFonts w:ascii="Times New Roman" w:hAnsi="Times New Roman" w:cs="Times New Roman"/>
          <w:sz w:val="24"/>
          <w:szCs w:val="24"/>
        </w:rPr>
        <w:t xml:space="preserve">Fasina, O. (2013). Determinants of perceived effectiveness of organic fertilizer used by farmers in Oyo State, Nigeria. </w:t>
      </w:r>
      <w:r w:rsidRPr="003F6046">
        <w:rPr>
          <w:rFonts w:ascii="Times New Roman" w:hAnsi="Times New Roman" w:cs="Times New Roman"/>
          <w:i/>
          <w:iCs/>
          <w:sz w:val="24"/>
          <w:szCs w:val="24"/>
        </w:rPr>
        <w:t>Agricultura Tropica et Subtropica</w:t>
      </w:r>
      <w:r w:rsidRPr="003F6046">
        <w:rPr>
          <w:rFonts w:ascii="Times New Roman" w:hAnsi="Times New Roman" w:cs="Times New Roman"/>
          <w:sz w:val="24"/>
          <w:szCs w:val="24"/>
        </w:rPr>
        <w:t xml:space="preserve">, 46(1), 23–28. </w:t>
      </w:r>
      <w:hyperlink r:id="rId26" w:history="1">
        <w:r w:rsidRPr="00033819">
          <w:rPr>
            <w:rStyle w:val="Hyperlink"/>
            <w:rFonts w:ascii="Times New Roman" w:hAnsi="Times New Roman" w:cs="Times New Roman"/>
            <w:sz w:val="24"/>
            <w:szCs w:val="24"/>
          </w:rPr>
          <w:t>https://doi.org/10.2478/ats-2013-0004</w:t>
        </w:r>
      </w:hyperlink>
    </w:p>
    <w:p w14:paraId="2709CB28" w14:textId="77777777" w:rsidR="004D7A50" w:rsidRDefault="004D7A50" w:rsidP="00CC423B">
      <w:pPr>
        <w:spacing w:line="480" w:lineRule="auto"/>
        <w:jc w:val="both"/>
        <w:rPr>
          <w:rFonts w:ascii="Times New Roman" w:hAnsi="Times New Roman" w:cs="Times New Roman"/>
          <w:sz w:val="24"/>
          <w:szCs w:val="24"/>
        </w:rPr>
      </w:pPr>
      <w:r w:rsidRPr="007165A1">
        <w:rPr>
          <w:rFonts w:ascii="Times New Roman" w:hAnsi="Times New Roman" w:cs="Times New Roman"/>
          <w:sz w:val="24"/>
          <w:szCs w:val="24"/>
        </w:rPr>
        <w:lastRenderedPageBreak/>
        <w:t xml:space="preserve">Habanyati, E.J., Paramasivam, S., Seethapathy, P. &amp; Manalil, S. (2024). Assessing organic farming adoption in selected districts of Tamil Nadu: Challenges, practices, and pathways for growth. </w:t>
      </w:r>
      <w:r w:rsidRPr="007165A1">
        <w:rPr>
          <w:rFonts w:ascii="Times New Roman" w:hAnsi="Times New Roman" w:cs="Times New Roman"/>
          <w:i/>
          <w:iCs/>
          <w:sz w:val="24"/>
          <w:szCs w:val="24"/>
        </w:rPr>
        <w:t>Agronomy</w:t>
      </w:r>
      <w:r w:rsidRPr="007165A1">
        <w:rPr>
          <w:rFonts w:ascii="Times New Roman" w:hAnsi="Times New Roman" w:cs="Times New Roman"/>
          <w:sz w:val="24"/>
          <w:szCs w:val="24"/>
        </w:rPr>
        <w:t xml:space="preserve">, 14(11), 2537. </w:t>
      </w:r>
      <w:hyperlink r:id="rId27" w:history="1">
        <w:r w:rsidRPr="00033819">
          <w:rPr>
            <w:rStyle w:val="Hyperlink"/>
            <w:rFonts w:ascii="Times New Roman" w:hAnsi="Times New Roman" w:cs="Times New Roman"/>
            <w:sz w:val="24"/>
            <w:szCs w:val="24"/>
          </w:rPr>
          <w:t>https://doi.org/10.3390/agronomy14112537</w:t>
        </w:r>
      </w:hyperlink>
    </w:p>
    <w:p w14:paraId="3DC397F8" w14:textId="77777777" w:rsidR="004D7A50" w:rsidRDefault="004D7A50" w:rsidP="00E8320D">
      <w:pPr>
        <w:spacing w:line="480" w:lineRule="auto"/>
        <w:jc w:val="both"/>
        <w:rPr>
          <w:rFonts w:ascii="Times New Roman" w:hAnsi="Times New Roman" w:cs="Times New Roman"/>
          <w:sz w:val="24"/>
          <w:szCs w:val="24"/>
        </w:rPr>
      </w:pPr>
      <w:r w:rsidRPr="00361B7E">
        <w:rPr>
          <w:rFonts w:ascii="Times New Roman" w:hAnsi="Times New Roman" w:cs="Times New Roman"/>
          <w:sz w:val="24"/>
          <w:szCs w:val="24"/>
        </w:rPr>
        <w:t xml:space="preserve">Kormawa, P., Munyemana, A. &amp; Soulé, B.G. (2003). Fertilizer market reforms and factors influencing fertilizer use by small-scale farmers in Bénin. </w:t>
      </w:r>
      <w:r w:rsidRPr="00361B7E">
        <w:rPr>
          <w:rFonts w:ascii="Times New Roman" w:hAnsi="Times New Roman" w:cs="Times New Roman"/>
          <w:i/>
          <w:iCs/>
          <w:sz w:val="24"/>
          <w:szCs w:val="24"/>
        </w:rPr>
        <w:t>Agriculture, Ecosystems &amp; Environment</w:t>
      </w:r>
      <w:r w:rsidRPr="00361B7E">
        <w:rPr>
          <w:rFonts w:ascii="Times New Roman" w:hAnsi="Times New Roman" w:cs="Times New Roman"/>
          <w:sz w:val="24"/>
          <w:szCs w:val="24"/>
        </w:rPr>
        <w:t xml:space="preserve">, 100(2–3), pp.129–136. </w:t>
      </w:r>
      <w:hyperlink r:id="rId28" w:history="1">
        <w:r w:rsidRPr="00033819">
          <w:rPr>
            <w:rStyle w:val="Hyperlink"/>
            <w:rFonts w:ascii="Times New Roman" w:hAnsi="Times New Roman" w:cs="Times New Roman"/>
            <w:sz w:val="24"/>
            <w:szCs w:val="24"/>
          </w:rPr>
          <w:t>https://doi.org/10.1016/S0167-8809(03)00181-6</w:t>
        </w:r>
      </w:hyperlink>
      <w:r>
        <w:rPr>
          <w:rFonts w:ascii="Times New Roman" w:hAnsi="Times New Roman" w:cs="Times New Roman"/>
          <w:sz w:val="24"/>
          <w:szCs w:val="24"/>
        </w:rPr>
        <w:t xml:space="preserve"> </w:t>
      </w:r>
    </w:p>
    <w:p w14:paraId="13A9E827" w14:textId="77777777" w:rsidR="004D7A50" w:rsidRDefault="004D7A50" w:rsidP="00E8320D">
      <w:pPr>
        <w:spacing w:line="480" w:lineRule="auto"/>
        <w:jc w:val="both"/>
        <w:rPr>
          <w:rFonts w:ascii="Times New Roman" w:hAnsi="Times New Roman" w:cs="Times New Roman"/>
          <w:sz w:val="24"/>
          <w:szCs w:val="24"/>
        </w:rPr>
      </w:pPr>
      <w:r w:rsidRPr="00E8320D">
        <w:rPr>
          <w:rFonts w:ascii="Times New Roman" w:hAnsi="Times New Roman" w:cs="Times New Roman"/>
          <w:sz w:val="24"/>
          <w:szCs w:val="24"/>
        </w:rPr>
        <w:t xml:space="preserve">Nkeme, K.K., Ibok, O.W., Umoh, I.U. &amp; Umoh, O.T. (2015). Factors influencing the use of organic manure by female vegetable farmers in Cross River State, Nigeria. </w:t>
      </w:r>
      <w:r w:rsidRPr="00E8320D">
        <w:rPr>
          <w:rFonts w:ascii="Times New Roman" w:hAnsi="Times New Roman" w:cs="Times New Roman"/>
          <w:i/>
          <w:iCs/>
          <w:sz w:val="24"/>
          <w:szCs w:val="24"/>
        </w:rPr>
        <w:t>Asian Journal of Agricultural Extension, Economics &amp; Sociology</w:t>
      </w:r>
      <w:r w:rsidRPr="00E8320D">
        <w:rPr>
          <w:rFonts w:ascii="Times New Roman" w:hAnsi="Times New Roman" w:cs="Times New Roman"/>
          <w:sz w:val="24"/>
          <w:szCs w:val="24"/>
        </w:rPr>
        <w:t xml:space="preserve">, 4(1), pp.21–28. </w:t>
      </w:r>
      <w:hyperlink r:id="rId29" w:history="1">
        <w:r w:rsidRPr="00E8320D">
          <w:rPr>
            <w:rStyle w:val="Hyperlink"/>
            <w:rFonts w:ascii="Times New Roman" w:hAnsi="Times New Roman" w:cs="Times New Roman"/>
            <w:sz w:val="24"/>
            <w:szCs w:val="24"/>
          </w:rPr>
          <w:t>https://doi.org/10.9734/AJAEES/2015/12602</w:t>
        </w:r>
      </w:hyperlink>
      <w:r>
        <w:rPr>
          <w:rFonts w:ascii="Times New Roman" w:hAnsi="Times New Roman" w:cs="Times New Roman"/>
          <w:sz w:val="24"/>
          <w:szCs w:val="24"/>
        </w:rPr>
        <w:t xml:space="preserve"> </w:t>
      </w:r>
    </w:p>
    <w:p w14:paraId="783BD896" w14:textId="77777777" w:rsidR="004D7A50" w:rsidRDefault="004D7A50" w:rsidP="00C03DF2">
      <w:pPr>
        <w:spacing w:line="480" w:lineRule="auto"/>
        <w:jc w:val="both"/>
        <w:rPr>
          <w:rFonts w:ascii="Times New Roman" w:hAnsi="Times New Roman" w:cs="Times New Roman"/>
          <w:sz w:val="24"/>
          <w:szCs w:val="24"/>
        </w:rPr>
      </w:pPr>
      <w:r w:rsidRPr="00043B7E">
        <w:rPr>
          <w:rFonts w:ascii="Times New Roman" w:hAnsi="Times New Roman" w:cs="Times New Roman"/>
          <w:sz w:val="24"/>
          <w:szCs w:val="24"/>
        </w:rPr>
        <w:t xml:space="preserve">Shehu, I., Abdullahi, A., Qasimu, A.I. &amp; Adamu, T. (2016). Farmers’ perception on organic manure usage among arable crop farmers in Jalingo Local Government Area of Taraba State, Nigeria. </w:t>
      </w:r>
      <w:r w:rsidRPr="00043B7E">
        <w:rPr>
          <w:rFonts w:ascii="Times New Roman" w:hAnsi="Times New Roman" w:cs="Times New Roman"/>
          <w:i/>
          <w:iCs/>
          <w:sz w:val="24"/>
          <w:szCs w:val="24"/>
        </w:rPr>
        <w:t>Scientific Papers Series Management, Economic Engineering in Agriculture and Rural Development</w:t>
      </w:r>
      <w:r w:rsidRPr="00043B7E">
        <w:rPr>
          <w:rFonts w:ascii="Times New Roman" w:hAnsi="Times New Roman" w:cs="Times New Roman"/>
          <w:sz w:val="24"/>
          <w:szCs w:val="24"/>
        </w:rPr>
        <w:t>, 16(3), pp.353–360.</w:t>
      </w:r>
    </w:p>
    <w:p w14:paraId="2AF0EA14" w14:textId="77777777" w:rsidR="004D7A50" w:rsidRDefault="004D7A50" w:rsidP="00CC423B">
      <w:pPr>
        <w:spacing w:line="480" w:lineRule="auto"/>
        <w:jc w:val="both"/>
        <w:rPr>
          <w:rFonts w:ascii="Times New Roman" w:hAnsi="Times New Roman" w:cs="Times New Roman"/>
          <w:sz w:val="24"/>
          <w:szCs w:val="24"/>
        </w:rPr>
      </w:pPr>
      <w:r w:rsidRPr="000150F1">
        <w:rPr>
          <w:rFonts w:ascii="Times New Roman" w:hAnsi="Times New Roman" w:cs="Times New Roman"/>
          <w:sz w:val="24"/>
          <w:szCs w:val="24"/>
        </w:rPr>
        <w:t xml:space="preserve">Shukla, A., Behera, S.K., Chaudhari, S.K. &amp; Singh, G. (2022). Fertilizer use in Indian agriculture and its impact on human health and environment. </w:t>
      </w:r>
      <w:r w:rsidRPr="000150F1">
        <w:rPr>
          <w:rFonts w:ascii="Times New Roman" w:hAnsi="Times New Roman" w:cs="Times New Roman"/>
          <w:i/>
          <w:iCs/>
          <w:sz w:val="24"/>
          <w:szCs w:val="24"/>
        </w:rPr>
        <w:t>Indian Journal of Fertilisers</w:t>
      </w:r>
      <w:r w:rsidRPr="000150F1">
        <w:rPr>
          <w:rFonts w:ascii="Times New Roman" w:hAnsi="Times New Roman" w:cs="Times New Roman"/>
          <w:sz w:val="24"/>
          <w:szCs w:val="24"/>
        </w:rPr>
        <w:t>, 18(3), pp.218–237.</w:t>
      </w:r>
    </w:p>
    <w:p w14:paraId="7750D735" w14:textId="77777777" w:rsidR="004D7A50" w:rsidRDefault="004D7A50" w:rsidP="00CC423B">
      <w:pPr>
        <w:spacing w:line="480" w:lineRule="auto"/>
        <w:jc w:val="both"/>
        <w:rPr>
          <w:rFonts w:ascii="Times New Roman" w:hAnsi="Times New Roman" w:cs="Times New Roman"/>
          <w:sz w:val="24"/>
          <w:szCs w:val="24"/>
        </w:rPr>
      </w:pPr>
      <w:r w:rsidRPr="00CC423B">
        <w:rPr>
          <w:rFonts w:ascii="Times New Roman" w:hAnsi="Times New Roman" w:cs="Times New Roman"/>
          <w:sz w:val="24"/>
          <w:szCs w:val="24"/>
        </w:rPr>
        <w:t xml:space="preserve">Utami, H.N., Sadeli, A.H., Perdana, T., Sanjaya, S., et al. (2018). Consumer preference of fertilizer in West Java using multi-dimensional scaling approach. </w:t>
      </w:r>
      <w:r w:rsidRPr="00CC423B">
        <w:rPr>
          <w:rFonts w:ascii="Times New Roman" w:hAnsi="Times New Roman" w:cs="Times New Roman"/>
          <w:i/>
          <w:iCs/>
          <w:sz w:val="24"/>
          <w:szCs w:val="24"/>
        </w:rPr>
        <w:t>AIP Conference Proceedings</w:t>
      </w:r>
      <w:r w:rsidRPr="00CC423B">
        <w:rPr>
          <w:rFonts w:ascii="Times New Roman" w:hAnsi="Times New Roman" w:cs="Times New Roman"/>
          <w:sz w:val="24"/>
          <w:szCs w:val="24"/>
        </w:rPr>
        <w:t xml:space="preserve">, 1927(1), 030012. </w:t>
      </w:r>
      <w:hyperlink r:id="rId30" w:history="1">
        <w:r w:rsidRPr="00CC423B">
          <w:rPr>
            <w:rStyle w:val="Hyperlink"/>
            <w:rFonts w:ascii="Times New Roman" w:hAnsi="Times New Roman" w:cs="Times New Roman"/>
            <w:sz w:val="24"/>
            <w:szCs w:val="24"/>
          </w:rPr>
          <w:t>https://doi.org/10.1063/1.5021205</w:t>
        </w:r>
      </w:hyperlink>
      <w:r>
        <w:rPr>
          <w:rFonts w:ascii="Times New Roman" w:hAnsi="Times New Roman" w:cs="Times New Roman"/>
          <w:sz w:val="24"/>
          <w:szCs w:val="24"/>
        </w:rPr>
        <w:t xml:space="preserve"> </w:t>
      </w:r>
    </w:p>
    <w:p w14:paraId="76B76BFB" w14:textId="77777777" w:rsidR="004D7A50" w:rsidRDefault="004D7A50" w:rsidP="00C03DF2">
      <w:pPr>
        <w:spacing w:line="480" w:lineRule="auto"/>
        <w:jc w:val="both"/>
        <w:rPr>
          <w:rFonts w:ascii="Times New Roman" w:hAnsi="Times New Roman" w:cs="Times New Roman"/>
          <w:sz w:val="24"/>
          <w:szCs w:val="24"/>
        </w:rPr>
      </w:pPr>
    </w:p>
    <w:p w14:paraId="5E823524" w14:textId="77777777" w:rsidR="004D7A50" w:rsidRPr="00C03DF2" w:rsidRDefault="004D7A50" w:rsidP="00C03DF2">
      <w:pPr>
        <w:spacing w:line="480" w:lineRule="auto"/>
        <w:jc w:val="both"/>
        <w:rPr>
          <w:rFonts w:ascii="Times New Roman" w:hAnsi="Times New Roman" w:cs="Times New Roman"/>
          <w:sz w:val="24"/>
          <w:szCs w:val="24"/>
        </w:rPr>
      </w:pPr>
    </w:p>
    <w:p w14:paraId="6B817BAB" w14:textId="77777777" w:rsidR="00321E8B" w:rsidRPr="00321E8B" w:rsidRDefault="00321E8B" w:rsidP="00321E8B">
      <w:pPr>
        <w:spacing w:line="480" w:lineRule="auto"/>
        <w:jc w:val="both"/>
        <w:rPr>
          <w:rFonts w:ascii="Times New Roman" w:hAnsi="Times New Roman" w:cs="Times New Roman"/>
          <w:sz w:val="24"/>
          <w:szCs w:val="24"/>
        </w:rPr>
      </w:pPr>
    </w:p>
    <w:sectPr w:rsidR="00321E8B" w:rsidRPr="00321E8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A415E" w14:textId="77777777" w:rsidR="0035270D" w:rsidRPr="00305035" w:rsidRDefault="0035270D" w:rsidP="00925BE6">
      <w:pPr>
        <w:spacing w:after="0" w:line="240" w:lineRule="auto"/>
      </w:pPr>
      <w:r w:rsidRPr="00305035">
        <w:separator/>
      </w:r>
    </w:p>
  </w:endnote>
  <w:endnote w:type="continuationSeparator" w:id="0">
    <w:p w14:paraId="73047371" w14:textId="77777777" w:rsidR="0035270D" w:rsidRPr="00305035" w:rsidRDefault="0035270D" w:rsidP="00925BE6">
      <w:pPr>
        <w:spacing w:after="0" w:line="240" w:lineRule="auto"/>
      </w:pPr>
      <w:r w:rsidRPr="0030503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810F7" w14:textId="77777777" w:rsidR="0035270D" w:rsidRPr="00305035" w:rsidRDefault="0035270D" w:rsidP="00925BE6">
      <w:pPr>
        <w:spacing w:after="0" w:line="240" w:lineRule="auto"/>
      </w:pPr>
      <w:r w:rsidRPr="00305035">
        <w:separator/>
      </w:r>
    </w:p>
  </w:footnote>
  <w:footnote w:type="continuationSeparator" w:id="0">
    <w:p w14:paraId="131BD777" w14:textId="77777777" w:rsidR="0035270D" w:rsidRPr="00305035" w:rsidRDefault="0035270D" w:rsidP="00925BE6">
      <w:pPr>
        <w:spacing w:after="0" w:line="240" w:lineRule="auto"/>
      </w:pPr>
      <w:r w:rsidRPr="00305035">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36D7A"/>
    <w:multiLevelType w:val="multilevel"/>
    <w:tmpl w:val="6726754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85723BE"/>
    <w:multiLevelType w:val="multilevel"/>
    <w:tmpl w:val="C1A6B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0F0A92"/>
    <w:multiLevelType w:val="multilevel"/>
    <w:tmpl w:val="4C6A0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5C01D3"/>
    <w:multiLevelType w:val="multilevel"/>
    <w:tmpl w:val="4984A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C65C7A"/>
    <w:multiLevelType w:val="hybridMultilevel"/>
    <w:tmpl w:val="21528D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2E979FF"/>
    <w:multiLevelType w:val="multilevel"/>
    <w:tmpl w:val="F828C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4A20F0"/>
    <w:multiLevelType w:val="multilevel"/>
    <w:tmpl w:val="9788A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8532357">
    <w:abstractNumId w:val="1"/>
  </w:num>
  <w:num w:numId="2" w16cid:durableId="1594439848">
    <w:abstractNumId w:val="2"/>
  </w:num>
  <w:num w:numId="3" w16cid:durableId="1107702288">
    <w:abstractNumId w:val="0"/>
  </w:num>
  <w:num w:numId="4" w16cid:durableId="1631011376">
    <w:abstractNumId w:val="3"/>
  </w:num>
  <w:num w:numId="5" w16cid:durableId="958758780">
    <w:abstractNumId w:val="6"/>
  </w:num>
  <w:num w:numId="6" w16cid:durableId="312609339">
    <w:abstractNumId w:val="5"/>
  </w:num>
  <w:num w:numId="7" w16cid:durableId="3790187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07B"/>
    <w:rsid w:val="000150F1"/>
    <w:rsid w:val="00015DDE"/>
    <w:rsid w:val="0002169F"/>
    <w:rsid w:val="0002642B"/>
    <w:rsid w:val="00027D72"/>
    <w:rsid w:val="00043B7E"/>
    <w:rsid w:val="0006206C"/>
    <w:rsid w:val="00063319"/>
    <w:rsid w:val="00064557"/>
    <w:rsid w:val="00067C9B"/>
    <w:rsid w:val="00073472"/>
    <w:rsid w:val="00091479"/>
    <w:rsid w:val="000927E2"/>
    <w:rsid w:val="000A5B21"/>
    <w:rsid w:val="000D489B"/>
    <w:rsid w:val="000D77A3"/>
    <w:rsid w:val="000F3A8E"/>
    <w:rsid w:val="000F3C45"/>
    <w:rsid w:val="00103A06"/>
    <w:rsid w:val="00111C82"/>
    <w:rsid w:val="00126150"/>
    <w:rsid w:val="001335F0"/>
    <w:rsid w:val="001436B3"/>
    <w:rsid w:val="00143F93"/>
    <w:rsid w:val="001517E2"/>
    <w:rsid w:val="001679A5"/>
    <w:rsid w:val="001879C4"/>
    <w:rsid w:val="00195781"/>
    <w:rsid w:val="00196F9C"/>
    <w:rsid w:val="001A0A23"/>
    <w:rsid w:val="001B44C2"/>
    <w:rsid w:val="001B4A52"/>
    <w:rsid w:val="001C1837"/>
    <w:rsid w:val="001C6FE2"/>
    <w:rsid w:val="001D6918"/>
    <w:rsid w:val="001D6CA0"/>
    <w:rsid w:val="001E0DAF"/>
    <w:rsid w:val="001E5804"/>
    <w:rsid w:val="001F42A8"/>
    <w:rsid w:val="0024187C"/>
    <w:rsid w:val="00244F74"/>
    <w:rsid w:val="00250766"/>
    <w:rsid w:val="00250EF3"/>
    <w:rsid w:val="002539CD"/>
    <w:rsid w:val="00257B9E"/>
    <w:rsid w:val="0027039D"/>
    <w:rsid w:val="00280612"/>
    <w:rsid w:val="0028460C"/>
    <w:rsid w:val="0028753C"/>
    <w:rsid w:val="002A239B"/>
    <w:rsid w:val="002B0A0E"/>
    <w:rsid w:val="002B1F5E"/>
    <w:rsid w:val="002C56A3"/>
    <w:rsid w:val="002C6A14"/>
    <w:rsid w:val="002D177B"/>
    <w:rsid w:val="002F66AA"/>
    <w:rsid w:val="00305035"/>
    <w:rsid w:val="00305A8C"/>
    <w:rsid w:val="00317F3A"/>
    <w:rsid w:val="00321E8B"/>
    <w:rsid w:val="00327E4C"/>
    <w:rsid w:val="00332349"/>
    <w:rsid w:val="003367D8"/>
    <w:rsid w:val="003454DF"/>
    <w:rsid w:val="00350390"/>
    <w:rsid w:val="0035270D"/>
    <w:rsid w:val="003600C5"/>
    <w:rsid w:val="00360CE5"/>
    <w:rsid w:val="00361B7E"/>
    <w:rsid w:val="003749A4"/>
    <w:rsid w:val="0038788E"/>
    <w:rsid w:val="00392B81"/>
    <w:rsid w:val="003952E2"/>
    <w:rsid w:val="003A376B"/>
    <w:rsid w:val="003A6D06"/>
    <w:rsid w:val="003B7CCE"/>
    <w:rsid w:val="003E29F4"/>
    <w:rsid w:val="003F0B52"/>
    <w:rsid w:val="003F2931"/>
    <w:rsid w:val="003F5461"/>
    <w:rsid w:val="003F6046"/>
    <w:rsid w:val="0040169D"/>
    <w:rsid w:val="00407E5D"/>
    <w:rsid w:val="00415CEE"/>
    <w:rsid w:val="00416A58"/>
    <w:rsid w:val="00417D22"/>
    <w:rsid w:val="004317C8"/>
    <w:rsid w:val="004348F3"/>
    <w:rsid w:val="00471347"/>
    <w:rsid w:val="0049234D"/>
    <w:rsid w:val="004A0B0E"/>
    <w:rsid w:val="004B1855"/>
    <w:rsid w:val="004B3BCC"/>
    <w:rsid w:val="004B5257"/>
    <w:rsid w:val="004B6D15"/>
    <w:rsid w:val="004B7413"/>
    <w:rsid w:val="004C10C6"/>
    <w:rsid w:val="004C6D84"/>
    <w:rsid w:val="004D10F6"/>
    <w:rsid w:val="004D1A07"/>
    <w:rsid w:val="004D2D0C"/>
    <w:rsid w:val="004D785A"/>
    <w:rsid w:val="004D7A50"/>
    <w:rsid w:val="005007FA"/>
    <w:rsid w:val="0050168B"/>
    <w:rsid w:val="00504558"/>
    <w:rsid w:val="0051770F"/>
    <w:rsid w:val="00521B06"/>
    <w:rsid w:val="00521F30"/>
    <w:rsid w:val="0052737E"/>
    <w:rsid w:val="00530182"/>
    <w:rsid w:val="005446EA"/>
    <w:rsid w:val="00553DCA"/>
    <w:rsid w:val="00562DC9"/>
    <w:rsid w:val="00571759"/>
    <w:rsid w:val="00573166"/>
    <w:rsid w:val="0058075B"/>
    <w:rsid w:val="00584817"/>
    <w:rsid w:val="00597518"/>
    <w:rsid w:val="005A144D"/>
    <w:rsid w:val="005A6038"/>
    <w:rsid w:val="005B0503"/>
    <w:rsid w:val="005B1ED0"/>
    <w:rsid w:val="005B2C2B"/>
    <w:rsid w:val="005B5F1E"/>
    <w:rsid w:val="005C30FF"/>
    <w:rsid w:val="005C33D3"/>
    <w:rsid w:val="005D2AE8"/>
    <w:rsid w:val="005D56F0"/>
    <w:rsid w:val="005F17DC"/>
    <w:rsid w:val="005F2DCA"/>
    <w:rsid w:val="00614D07"/>
    <w:rsid w:val="0062242C"/>
    <w:rsid w:val="0062360A"/>
    <w:rsid w:val="006333FB"/>
    <w:rsid w:val="00645AEF"/>
    <w:rsid w:val="00676A08"/>
    <w:rsid w:val="006825FC"/>
    <w:rsid w:val="00692E11"/>
    <w:rsid w:val="006A6546"/>
    <w:rsid w:val="006B56EC"/>
    <w:rsid w:val="006B789E"/>
    <w:rsid w:val="006C40B4"/>
    <w:rsid w:val="006D365C"/>
    <w:rsid w:val="006E2371"/>
    <w:rsid w:val="006E763B"/>
    <w:rsid w:val="006F0583"/>
    <w:rsid w:val="007053D1"/>
    <w:rsid w:val="007165A1"/>
    <w:rsid w:val="0072132F"/>
    <w:rsid w:val="0075523D"/>
    <w:rsid w:val="00760287"/>
    <w:rsid w:val="00780626"/>
    <w:rsid w:val="00783893"/>
    <w:rsid w:val="00795C31"/>
    <w:rsid w:val="007A02E4"/>
    <w:rsid w:val="007B2153"/>
    <w:rsid w:val="007C3AEF"/>
    <w:rsid w:val="007D3F16"/>
    <w:rsid w:val="007D4A5E"/>
    <w:rsid w:val="007E4F65"/>
    <w:rsid w:val="007E66AD"/>
    <w:rsid w:val="007F3FBF"/>
    <w:rsid w:val="007F6165"/>
    <w:rsid w:val="007F79EC"/>
    <w:rsid w:val="00806D8D"/>
    <w:rsid w:val="00815A43"/>
    <w:rsid w:val="008308FD"/>
    <w:rsid w:val="00830F62"/>
    <w:rsid w:val="0084078F"/>
    <w:rsid w:val="00846B96"/>
    <w:rsid w:val="008575AC"/>
    <w:rsid w:val="00860792"/>
    <w:rsid w:val="00865C93"/>
    <w:rsid w:val="00876689"/>
    <w:rsid w:val="008807C6"/>
    <w:rsid w:val="00892354"/>
    <w:rsid w:val="008C506D"/>
    <w:rsid w:val="008C540E"/>
    <w:rsid w:val="008E369C"/>
    <w:rsid w:val="008F69C1"/>
    <w:rsid w:val="0091186B"/>
    <w:rsid w:val="0091262B"/>
    <w:rsid w:val="0091517F"/>
    <w:rsid w:val="00922155"/>
    <w:rsid w:val="009247B1"/>
    <w:rsid w:val="00925BE6"/>
    <w:rsid w:val="00927910"/>
    <w:rsid w:val="00980A79"/>
    <w:rsid w:val="0098576E"/>
    <w:rsid w:val="009A795A"/>
    <w:rsid w:val="009B139D"/>
    <w:rsid w:val="009D4AB7"/>
    <w:rsid w:val="009E23C3"/>
    <w:rsid w:val="009E3179"/>
    <w:rsid w:val="009F3434"/>
    <w:rsid w:val="00A2053C"/>
    <w:rsid w:val="00A21FF9"/>
    <w:rsid w:val="00A30498"/>
    <w:rsid w:val="00A61391"/>
    <w:rsid w:val="00A617CF"/>
    <w:rsid w:val="00A63DD7"/>
    <w:rsid w:val="00A64072"/>
    <w:rsid w:val="00A670AB"/>
    <w:rsid w:val="00A75D2B"/>
    <w:rsid w:val="00A90E48"/>
    <w:rsid w:val="00A92404"/>
    <w:rsid w:val="00AC3FCC"/>
    <w:rsid w:val="00AD0D76"/>
    <w:rsid w:val="00AD6B4E"/>
    <w:rsid w:val="00AF2582"/>
    <w:rsid w:val="00AF5A8B"/>
    <w:rsid w:val="00AF74C6"/>
    <w:rsid w:val="00B00BEF"/>
    <w:rsid w:val="00B020D1"/>
    <w:rsid w:val="00B02D9C"/>
    <w:rsid w:val="00B05BE4"/>
    <w:rsid w:val="00B06BDE"/>
    <w:rsid w:val="00B13B0B"/>
    <w:rsid w:val="00B325FA"/>
    <w:rsid w:val="00B32FBF"/>
    <w:rsid w:val="00B46015"/>
    <w:rsid w:val="00B51EA8"/>
    <w:rsid w:val="00B53D84"/>
    <w:rsid w:val="00B6023D"/>
    <w:rsid w:val="00B6430D"/>
    <w:rsid w:val="00B750E0"/>
    <w:rsid w:val="00B854C1"/>
    <w:rsid w:val="00BA591F"/>
    <w:rsid w:val="00BB53EA"/>
    <w:rsid w:val="00BC2D03"/>
    <w:rsid w:val="00BD5B52"/>
    <w:rsid w:val="00BD6D73"/>
    <w:rsid w:val="00BE3D1E"/>
    <w:rsid w:val="00BF09F6"/>
    <w:rsid w:val="00BF3162"/>
    <w:rsid w:val="00BF7D1F"/>
    <w:rsid w:val="00C030AE"/>
    <w:rsid w:val="00C03DF2"/>
    <w:rsid w:val="00C040F7"/>
    <w:rsid w:val="00C04BC4"/>
    <w:rsid w:val="00C146AE"/>
    <w:rsid w:val="00C52D4D"/>
    <w:rsid w:val="00C57620"/>
    <w:rsid w:val="00C60023"/>
    <w:rsid w:val="00C6115F"/>
    <w:rsid w:val="00C620C8"/>
    <w:rsid w:val="00C644EB"/>
    <w:rsid w:val="00C72B15"/>
    <w:rsid w:val="00C82CBC"/>
    <w:rsid w:val="00C832F9"/>
    <w:rsid w:val="00C85847"/>
    <w:rsid w:val="00CA4FB0"/>
    <w:rsid w:val="00CB2831"/>
    <w:rsid w:val="00CB43E9"/>
    <w:rsid w:val="00CB6783"/>
    <w:rsid w:val="00CC24EC"/>
    <w:rsid w:val="00CC423B"/>
    <w:rsid w:val="00CC4B1D"/>
    <w:rsid w:val="00CC7A07"/>
    <w:rsid w:val="00CE5242"/>
    <w:rsid w:val="00CF27D6"/>
    <w:rsid w:val="00CF5B49"/>
    <w:rsid w:val="00D17E52"/>
    <w:rsid w:val="00D20404"/>
    <w:rsid w:val="00D4379A"/>
    <w:rsid w:val="00D56121"/>
    <w:rsid w:val="00D72BA4"/>
    <w:rsid w:val="00D8135C"/>
    <w:rsid w:val="00D819B5"/>
    <w:rsid w:val="00D86A0D"/>
    <w:rsid w:val="00D86D5D"/>
    <w:rsid w:val="00DA398C"/>
    <w:rsid w:val="00DA6529"/>
    <w:rsid w:val="00DA7310"/>
    <w:rsid w:val="00DF7D68"/>
    <w:rsid w:val="00E0094A"/>
    <w:rsid w:val="00E0522F"/>
    <w:rsid w:val="00E26B1F"/>
    <w:rsid w:val="00E3348B"/>
    <w:rsid w:val="00E33D40"/>
    <w:rsid w:val="00E5107B"/>
    <w:rsid w:val="00E5695C"/>
    <w:rsid w:val="00E57CAE"/>
    <w:rsid w:val="00E7033C"/>
    <w:rsid w:val="00E8192F"/>
    <w:rsid w:val="00E8320D"/>
    <w:rsid w:val="00E85513"/>
    <w:rsid w:val="00E85923"/>
    <w:rsid w:val="00E96FE4"/>
    <w:rsid w:val="00EA1C5F"/>
    <w:rsid w:val="00EB1532"/>
    <w:rsid w:val="00EB2C7E"/>
    <w:rsid w:val="00ED0D29"/>
    <w:rsid w:val="00EF13D5"/>
    <w:rsid w:val="00EF7C03"/>
    <w:rsid w:val="00F05334"/>
    <w:rsid w:val="00F137B1"/>
    <w:rsid w:val="00F20E68"/>
    <w:rsid w:val="00F352BE"/>
    <w:rsid w:val="00F3731B"/>
    <w:rsid w:val="00F425AF"/>
    <w:rsid w:val="00F44C76"/>
    <w:rsid w:val="00F64F21"/>
    <w:rsid w:val="00F72D59"/>
    <w:rsid w:val="00F73875"/>
    <w:rsid w:val="00F75570"/>
    <w:rsid w:val="00F865D3"/>
    <w:rsid w:val="00F92471"/>
    <w:rsid w:val="00FA5C81"/>
    <w:rsid w:val="00FA7262"/>
    <w:rsid w:val="00FB0508"/>
    <w:rsid w:val="00FB29C2"/>
    <w:rsid w:val="00FB4A19"/>
    <w:rsid w:val="00FE0499"/>
    <w:rsid w:val="00FF0DA1"/>
    <w:rsid w:val="00FF371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B50D1F"/>
  <w15:chartTrackingRefBased/>
  <w15:docId w15:val="{44FB4891-655B-432F-B282-2B00E9760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link w:val="Heading1Char"/>
    <w:uiPriority w:val="9"/>
    <w:qFormat/>
    <w:rsid w:val="00E5107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5107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5107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5107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5107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510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10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10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10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107B"/>
    <w:rPr>
      <w:rFonts w:asciiTheme="majorHAnsi" w:eastAsiaTheme="majorEastAsia" w:hAnsiTheme="majorHAnsi" w:cstheme="majorBidi"/>
      <w:noProof/>
      <w:color w:val="2F5496" w:themeColor="accent1" w:themeShade="BF"/>
      <w:sz w:val="40"/>
      <w:szCs w:val="40"/>
      <w:lang w:val="en-GB"/>
    </w:rPr>
  </w:style>
  <w:style w:type="character" w:customStyle="1" w:styleId="Heading2Char">
    <w:name w:val="Heading 2 Char"/>
    <w:basedOn w:val="DefaultParagraphFont"/>
    <w:link w:val="Heading2"/>
    <w:uiPriority w:val="9"/>
    <w:semiHidden/>
    <w:rsid w:val="00E5107B"/>
    <w:rPr>
      <w:rFonts w:asciiTheme="majorHAnsi" w:eastAsiaTheme="majorEastAsia" w:hAnsiTheme="majorHAnsi" w:cstheme="majorBidi"/>
      <w:noProof/>
      <w:color w:val="2F5496" w:themeColor="accent1" w:themeShade="BF"/>
      <w:sz w:val="32"/>
      <w:szCs w:val="32"/>
      <w:lang w:val="en-GB"/>
    </w:rPr>
  </w:style>
  <w:style w:type="character" w:customStyle="1" w:styleId="Heading3Char">
    <w:name w:val="Heading 3 Char"/>
    <w:basedOn w:val="DefaultParagraphFont"/>
    <w:link w:val="Heading3"/>
    <w:uiPriority w:val="9"/>
    <w:semiHidden/>
    <w:rsid w:val="00E5107B"/>
    <w:rPr>
      <w:rFonts w:eastAsiaTheme="majorEastAsia" w:cstheme="majorBidi"/>
      <w:noProof/>
      <w:color w:val="2F5496" w:themeColor="accent1" w:themeShade="BF"/>
      <w:sz w:val="28"/>
      <w:szCs w:val="28"/>
      <w:lang w:val="en-GB"/>
    </w:rPr>
  </w:style>
  <w:style w:type="character" w:customStyle="1" w:styleId="Heading4Char">
    <w:name w:val="Heading 4 Char"/>
    <w:basedOn w:val="DefaultParagraphFont"/>
    <w:link w:val="Heading4"/>
    <w:uiPriority w:val="9"/>
    <w:semiHidden/>
    <w:rsid w:val="00E5107B"/>
    <w:rPr>
      <w:rFonts w:eastAsiaTheme="majorEastAsia" w:cstheme="majorBidi"/>
      <w:i/>
      <w:iCs/>
      <w:noProof/>
      <w:color w:val="2F5496" w:themeColor="accent1" w:themeShade="BF"/>
      <w:lang w:val="en-GB"/>
    </w:rPr>
  </w:style>
  <w:style w:type="character" w:customStyle="1" w:styleId="Heading5Char">
    <w:name w:val="Heading 5 Char"/>
    <w:basedOn w:val="DefaultParagraphFont"/>
    <w:link w:val="Heading5"/>
    <w:uiPriority w:val="9"/>
    <w:semiHidden/>
    <w:rsid w:val="00E5107B"/>
    <w:rPr>
      <w:rFonts w:eastAsiaTheme="majorEastAsia" w:cstheme="majorBidi"/>
      <w:noProof/>
      <w:color w:val="2F5496" w:themeColor="accent1" w:themeShade="BF"/>
      <w:lang w:val="en-GB"/>
    </w:rPr>
  </w:style>
  <w:style w:type="character" w:customStyle="1" w:styleId="Heading6Char">
    <w:name w:val="Heading 6 Char"/>
    <w:basedOn w:val="DefaultParagraphFont"/>
    <w:link w:val="Heading6"/>
    <w:uiPriority w:val="9"/>
    <w:semiHidden/>
    <w:rsid w:val="00E5107B"/>
    <w:rPr>
      <w:rFonts w:eastAsiaTheme="majorEastAsia" w:cstheme="majorBidi"/>
      <w:i/>
      <w:iCs/>
      <w:noProof/>
      <w:color w:val="595959" w:themeColor="text1" w:themeTint="A6"/>
      <w:lang w:val="en-GB"/>
    </w:rPr>
  </w:style>
  <w:style w:type="character" w:customStyle="1" w:styleId="Heading7Char">
    <w:name w:val="Heading 7 Char"/>
    <w:basedOn w:val="DefaultParagraphFont"/>
    <w:link w:val="Heading7"/>
    <w:uiPriority w:val="9"/>
    <w:semiHidden/>
    <w:rsid w:val="00E5107B"/>
    <w:rPr>
      <w:rFonts w:eastAsiaTheme="majorEastAsia" w:cstheme="majorBidi"/>
      <w:noProof/>
      <w:color w:val="595959" w:themeColor="text1" w:themeTint="A6"/>
      <w:lang w:val="en-GB"/>
    </w:rPr>
  </w:style>
  <w:style w:type="character" w:customStyle="1" w:styleId="Heading8Char">
    <w:name w:val="Heading 8 Char"/>
    <w:basedOn w:val="DefaultParagraphFont"/>
    <w:link w:val="Heading8"/>
    <w:uiPriority w:val="9"/>
    <w:semiHidden/>
    <w:rsid w:val="00E5107B"/>
    <w:rPr>
      <w:rFonts w:eastAsiaTheme="majorEastAsia" w:cstheme="majorBidi"/>
      <w:i/>
      <w:iCs/>
      <w:noProof/>
      <w:color w:val="272727" w:themeColor="text1" w:themeTint="D8"/>
      <w:lang w:val="en-GB"/>
    </w:rPr>
  </w:style>
  <w:style w:type="character" w:customStyle="1" w:styleId="Heading9Char">
    <w:name w:val="Heading 9 Char"/>
    <w:basedOn w:val="DefaultParagraphFont"/>
    <w:link w:val="Heading9"/>
    <w:uiPriority w:val="9"/>
    <w:semiHidden/>
    <w:rsid w:val="00E5107B"/>
    <w:rPr>
      <w:rFonts w:eastAsiaTheme="majorEastAsia" w:cstheme="majorBidi"/>
      <w:noProof/>
      <w:color w:val="272727" w:themeColor="text1" w:themeTint="D8"/>
      <w:lang w:val="en-GB"/>
    </w:rPr>
  </w:style>
  <w:style w:type="paragraph" w:styleId="Title">
    <w:name w:val="Title"/>
    <w:basedOn w:val="Normal"/>
    <w:next w:val="Normal"/>
    <w:link w:val="TitleChar"/>
    <w:uiPriority w:val="10"/>
    <w:qFormat/>
    <w:rsid w:val="00E510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107B"/>
    <w:rPr>
      <w:rFonts w:asciiTheme="majorHAnsi" w:eastAsiaTheme="majorEastAsia" w:hAnsiTheme="majorHAnsi" w:cstheme="majorBidi"/>
      <w:noProof/>
      <w:spacing w:val="-10"/>
      <w:kern w:val="28"/>
      <w:sz w:val="56"/>
      <w:szCs w:val="56"/>
      <w:lang w:val="en-GB"/>
    </w:rPr>
  </w:style>
  <w:style w:type="paragraph" w:styleId="Subtitle">
    <w:name w:val="Subtitle"/>
    <w:basedOn w:val="Normal"/>
    <w:next w:val="Normal"/>
    <w:link w:val="SubtitleChar"/>
    <w:uiPriority w:val="11"/>
    <w:qFormat/>
    <w:rsid w:val="00E510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107B"/>
    <w:rPr>
      <w:rFonts w:eastAsiaTheme="majorEastAsia" w:cstheme="majorBidi"/>
      <w:noProof/>
      <w:color w:val="595959" w:themeColor="text1" w:themeTint="A6"/>
      <w:spacing w:val="15"/>
      <w:sz w:val="28"/>
      <w:szCs w:val="28"/>
      <w:lang w:val="en-GB"/>
    </w:rPr>
  </w:style>
  <w:style w:type="paragraph" w:styleId="Quote">
    <w:name w:val="Quote"/>
    <w:basedOn w:val="Normal"/>
    <w:next w:val="Normal"/>
    <w:link w:val="QuoteChar"/>
    <w:uiPriority w:val="29"/>
    <w:qFormat/>
    <w:rsid w:val="00E5107B"/>
    <w:pPr>
      <w:spacing w:before="160"/>
      <w:jc w:val="center"/>
    </w:pPr>
    <w:rPr>
      <w:i/>
      <w:iCs/>
      <w:color w:val="404040" w:themeColor="text1" w:themeTint="BF"/>
    </w:rPr>
  </w:style>
  <w:style w:type="character" w:customStyle="1" w:styleId="QuoteChar">
    <w:name w:val="Quote Char"/>
    <w:basedOn w:val="DefaultParagraphFont"/>
    <w:link w:val="Quote"/>
    <w:uiPriority w:val="29"/>
    <w:rsid w:val="00E5107B"/>
    <w:rPr>
      <w:i/>
      <w:iCs/>
      <w:noProof/>
      <w:color w:val="404040" w:themeColor="text1" w:themeTint="BF"/>
      <w:lang w:val="en-GB"/>
    </w:rPr>
  </w:style>
  <w:style w:type="paragraph" w:styleId="ListParagraph">
    <w:name w:val="List Paragraph"/>
    <w:basedOn w:val="Normal"/>
    <w:uiPriority w:val="34"/>
    <w:qFormat/>
    <w:rsid w:val="00E5107B"/>
    <w:pPr>
      <w:ind w:left="720"/>
      <w:contextualSpacing/>
    </w:pPr>
  </w:style>
  <w:style w:type="character" w:styleId="IntenseEmphasis">
    <w:name w:val="Intense Emphasis"/>
    <w:basedOn w:val="DefaultParagraphFont"/>
    <w:uiPriority w:val="21"/>
    <w:qFormat/>
    <w:rsid w:val="00E5107B"/>
    <w:rPr>
      <w:i/>
      <w:iCs/>
      <w:color w:val="2F5496" w:themeColor="accent1" w:themeShade="BF"/>
    </w:rPr>
  </w:style>
  <w:style w:type="paragraph" w:styleId="IntenseQuote">
    <w:name w:val="Intense Quote"/>
    <w:basedOn w:val="Normal"/>
    <w:next w:val="Normal"/>
    <w:link w:val="IntenseQuoteChar"/>
    <w:uiPriority w:val="30"/>
    <w:qFormat/>
    <w:rsid w:val="00E510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5107B"/>
    <w:rPr>
      <w:i/>
      <w:iCs/>
      <w:noProof/>
      <w:color w:val="2F5496" w:themeColor="accent1" w:themeShade="BF"/>
      <w:lang w:val="en-GB"/>
    </w:rPr>
  </w:style>
  <w:style w:type="character" w:styleId="IntenseReference">
    <w:name w:val="Intense Reference"/>
    <w:basedOn w:val="DefaultParagraphFont"/>
    <w:uiPriority w:val="32"/>
    <w:qFormat/>
    <w:rsid w:val="00E5107B"/>
    <w:rPr>
      <w:b/>
      <w:bCs/>
      <w:smallCaps/>
      <w:color w:val="2F5496" w:themeColor="accent1" w:themeShade="BF"/>
      <w:spacing w:val="5"/>
    </w:rPr>
  </w:style>
  <w:style w:type="table" w:styleId="TableGrid">
    <w:name w:val="Table Grid"/>
    <w:basedOn w:val="TableNormal"/>
    <w:uiPriority w:val="39"/>
    <w:rsid w:val="00417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17D22"/>
    <w:pPr>
      <w:spacing w:after="200" w:line="240" w:lineRule="auto"/>
    </w:pPr>
    <w:rPr>
      <w:i/>
      <w:iCs/>
      <w:color w:val="44546A" w:themeColor="text2"/>
      <w:sz w:val="18"/>
      <w:szCs w:val="18"/>
    </w:rPr>
  </w:style>
  <w:style w:type="paragraph" w:styleId="Header">
    <w:name w:val="header"/>
    <w:basedOn w:val="Normal"/>
    <w:link w:val="HeaderChar"/>
    <w:uiPriority w:val="99"/>
    <w:unhideWhenUsed/>
    <w:rsid w:val="00925B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5BE6"/>
    <w:rPr>
      <w:noProof/>
      <w:lang w:val="en-GB"/>
    </w:rPr>
  </w:style>
  <w:style w:type="paragraph" w:styleId="Footer">
    <w:name w:val="footer"/>
    <w:basedOn w:val="Normal"/>
    <w:link w:val="FooterChar"/>
    <w:uiPriority w:val="99"/>
    <w:unhideWhenUsed/>
    <w:rsid w:val="00925B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5BE6"/>
    <w:rPr>
      <w:noProof/>
      <w:lang w:val="en-GB"/>
    </w:rPr>
  </w:style>
  <w:style w:type="paragraph" w:styleId="NormalWeb">
    <w:name w:val="Normal (Web)"/>
    <w:basedOn w:val="Normal"/>
    <w:uiPriority w:val="99"/>
    <w:semiHidden/>
    <w:unhideWhenUsed/>
    <w:rsid w:val="004B5257"/>
    <w:rPr>
      <w:rFonts w:ascii="Times New Roman" w:hAnsi="Times New Roman" w:cs="Times New Roman"/>
      <w:sz w:val="24"/>
      <w:szCs w:val="24"/>
    </w:rPr>
  </w:style>
  <w:style w:type="character" w:styleId="Hyperlink">
    <w:name w:val="Hyperlink"/>
    <w:basedOn w:val="DefaultParagraphFont"/>
    <w:uiPriority w:val="99"/>
    <w:unhideWhenUsed/>
    <w:rsid w:val="003F6046"/>
    <w:rPr>
      <w:color w:val="0563C1" w:themeColor="hyperlink"/>
      <w:u w:val="single"/>
    </w:rPr>
  </w:style>
  <w:style w:type="character" w:styleId="UnresolvedMention">
    <w:name w:val="Unresolved Mention"/>
    <w:basedOn w:val="DefaultParagraphFont"/>
    <w:uiPriority w:val="99"/>
    <w:semiHidden/>
    <w:unhideWhenUsed/>
    <w:rsid w:val="003F6046"/>
    <w:rPr>
      <w:color w:val="605E5C"/>
      <w:shd w:val="clear" w:color="auto" w:fill="E1DFDD"/>
    </w:rPr>
  </w:style>
  <w:style w:type="character" w:styleId="FollowedHyperlink">
    <w:name w:val="FollowedHyperlink"/>
    <w:basedOn w:val="DefaultParagraphFont"/>
    <w:uiPriority w:val="99"/>
    <w:semiHidden/>
    <w:unhideWhenUsed/>
    <w:rsid w:val="006C40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hyperlink" Target="https://doi.org/10.2478/ats-2013-0004" TargetMode="External"/><Relationship Id="rId3" Type="http://schemas.openxmlformats.org/officeDocument/2006/relationships/styles" Target="styles.xml"/><Relationship Id="rId21" Type="http://schemas.openxmlformats.org/officeDocument/2006/relationships/hyperlink" Target="https://www.academia.edu/36900329/Fertilizer_Trade_in_India_Organic_and_Chemical_Fertilizer_Market_Scenario" TargetMode="Externa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hyperlink" Target="https://doi.org/10.3390/su8111169" TargetMode="Externa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hyperlink" Target="https://doi.org/10.1080/23311932.2019.1669398" TargetMode="External"/><Relationship Id="rId29" Type="http://schemas.openxmlformats.org/officeDocument/2006/relationships/hyperlink" Target="https://doi.org/10.9734/AJAEES/2015/126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https://doi.org/10.9734/jeai/2024/v46i102994"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yperlink" Target="https://doi.org/10.21203/rs.3.rs-206349/v1" TargetMode="External"/><Relationship Id="rId28" Type="http://schemas.openxmlformats.org/officeDocument/2006/relationships/hyperlink" Target="https://doi.org/10.1016/S0167-8809(03)00181-6" TargetMode="Externa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yperlink" Target="https://doi.org/10.1007/s11356-021-13975-7" TargetMode="External"/><Relationship Id="rId27" Type="http://schemas.openxmlformats.org/officeDocument/2006/relationships/hyperlink" Target="https://doi.org/10.3390/agronomy14112537" TargetMode="External"/><Relationship Id="rId30" Type="http://schemas.openxmlformats.org/officeDocument/2006/relationships/hyperlink" Target="https://doi.org/10.1063/1.5021205"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solidFill>
                  <a:sysClr val="windowText" lastClr="000000"/>
                </a:solidFill>
              </a:rPr>
              <a:t>Age</a:t>
            </a:r>
            <a:r>
              <a:rPr lang="en-US" b="1" baseline="0">
                <a:solidFill>
                  <a:sysClr val="windowText" lastClr="000000"/>
                </a:solidFill>
              </a:rPr>
              <a:t> Group in </a:t>
            </a:r>
            <a:r>
              <a:rPr lang="en-US" b="1">
                <a:solidFill>
                  <a:sysClr val="windowText" lastClr="000000"/>
                </a:solidFill>
              </a:rPr>
              <a:t> (%)</a:t>
            </a:r>
          </a:p>
        </c:rich>
      </c:tx>
      <c:layout>
        <c:manualLayout>
          <c:xMode val="edge"/>
          <c:yMode val="edge"/>
          <c:x val="0.30252167060677698"/>
          <c:y val="3.378378378378378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pieChart>
        <c:varyColors val="1"/>
        <c:ser>
          <c:idx val="0"/>
          <c:order val="0"/>
          <c:tx>
            <c:strRef>
              <c:f>Sheet1!$B$1</c:f>
              <c:strCache>
                <c:ptCount val="1"/>
                <c:pt idx="0">
                  <c:v>Total Participants (in percentage)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C54-4C8F-9F65-DBB56A5F736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C54-4C8F-9F65-DBB56A5F736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C54-4C8F-9F65-DBB56A5F736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C54-4C8F-9F65-DBB56A5F736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25 – 39</c:v>
                </c:pt>
                <c:pt idx="1">
                  <c:v>40 – 50</c:v>
                </c:pt>
                <c:pt idx="2">
                  <c:v>50 and Above</c:v>
                </c:pt>
              </c:strCache>
            </c:strRef>
          </c:cat>
          <c:val>
            <c:numRef>
              <c:f>Sheet1!$B$2:$B$5</c:f>
              <c:numCache>
                <c:formatCode>0%</c:formatCode>
                <c:ptCount val="4"/>
                <c:pt idx="0">
                  <c:v>0.08</c:v>
                </c:pt>
                <c:pt idx="1">
                  <c:v>0.17</c:v>
                </c:pt>
                <c:pt idx="2">
                  <c:v>0.75</c:v>
                </c:pt>
              </c:numCache>
            </c:numRef>
          </c:val>
          <c:extLst>
            <c:ext xmlns:c16="http://schemas.microsoft.com/office/drawing/2014/chart" uri="{C3380CC4-5D6E-409C-BE32-E72D297353CC}">
              <c16:uniqueId val="{00000008-6C54-4C8F-9F65-DBB56A5F736B}"/>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solidFill>
                  <a:sysClr val="windowText" lastClr="000000"/>
                </a:solidFill>
              </a:rPr>
              <a:t>Preference in (%)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Preference in (%) </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F5E2-42CF-A494-3A62A3B75EA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F5E2-42CF-A494-3A62A3B75EAE}"/>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F5E2-42CF-A494-3A62A3B75EAE}"/>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F5E2-42CF-A494-3A62A3B75EA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2"/>
                <c:pt idx="0">
                  <c:v>Bulky</c:v>
                </c:pt>
                <c:pt idx="1">
                  <c:v>Concentrated</c:v>
                </c:pt>
              </c:strCache>
            </c:strRef>
          </c:cat>
          <c:val>
            <c:numRef>
              <c:f>Sheet1!$B$2:$B$5</c:f>
              <c:numCache>
                <c:formatCode>0%</c:formatCode>
                <c:ptCount val="4"/>
                <c:pt idx="0">
                  <c:v>0.03</c:v>
                </c:pt>
                <c:pt idx="1">
                  <c:v>0.97</c:v>
                </c:pt>
              </c:numCache>
            </c:numRef>
          </c:val>
          <c:extLst>
            <c:ext xmlns:c16="http://schemas.microsoft.com/office/drawing/2014/chart" uri="{C3380CC4-5D6E-409C-BE32-E72D297353CC}">
              <c16:uniqueId val="{00000008-F5E2-42CF-A494-3A62A3B75EAE}"/>
            </c:ext>
          </c:extLst>
        </c:ser>
        <c:dLbls>
          <c:dLblPos val="bestFit"/>
          <c:showLegendKey val="0"/>
          <c:showVal val="1"/>
          <c:showCatName val="0"/>
          <c:showSerName val="0"/>
          <c:showPercent val="0"/>
          <c:showBubbleSize val="0"/>
          <c:showLeaderLines val="1"/>
        </c:dLbls>
      </c:pie3DChart>
      <c:spPr>
        <a:noFill/>
        <a:ln>
          <a:noFill/>
        </a:ln>
        <a:effectLst/>
      </c:spPr>
    </c:plotArea>
    <c:legend>
      <c:legendPos val="b"/>
      <c:legendEntry>
        <c:idx val="1"/>
        <c:delete val="1"/>
      </c:legendEntry>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solidFill>
                  <a:sysClr val="windowText" lastClr="000000"/>
                </a:solidFill>
              </a:rPr>
              <a:t>Respondents in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pieChart>
        <c:varyColors val="1"/>
        <c:ser>
          <c:idx val="0"/>
          <c:order val="0"/>
          <c:tx>
            <c:strRef>
              <c:f>Sheet1!$B$1</c:f>
              <c:strCache>
                <c:ptCount val="1"/>
                <c:pt idx="0">
                  <c:v>Respondents in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13C-4E3C-8F53-CF80EAA3622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13C-4E3C-8F53-CF80EAA3622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13C-4E3C-8F53-CF80EAA3622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13C-4E3C-8F53-CF80EAA36228}"/>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913C-4E3C-8F53-CF80EAA3622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Soil Fertility</c:v>
                </c:pt>
                <c:pt idx="1">
                  <c:v>Avoid Chemicals</c:v>
                </c:pt>
                <c:pt idx="2">
                  <c:v>Soil Microbes</c:v>
                </c:pt>
                <c:pt idx="3">
                  <c:v>Cost Effective</c:v>
                </c:pt>
                <c:pt idx="4">
                  <c:v>All of the Above</c:v>
                </c:pt>
              </c:strCache>
            </c:strRef>
          </c:cat>
          <c:val>
            <c:numRef>
              <c:f>Sheet1!$B$2:$B$6</c:f>
              <c:numCache>
                <c:formatCode>0%</c:formatCode>
                <c:ptCount val="5"/>
                <c:pt idx="0">
                  <c:v>0.1</c:v>
                </c:pt>
                <c:pt idx="1">
                  <c:v>0.2</c:v>
                </c:pt>
                <c:pt idx="2">
                  <c:v>7.0000000000000007E-2</c:v>
                </c:pt>
                <c:pt idx="3">
                  <c:v>0.13</c:v>
                </c:pt>
                <c:pt idx="4">
                  <c:v>0.5</c:v>
                </c:pt>
              </c:numCache>
            </c:numRef>
          </c:val>
          <c:extLst>
            <c:ext xmlns:c16="http://schemas.microsoft.com/office/drawing/2014/chart" uri="{C3380CC4-5D6E-409C-BE32-E72D297353CC}">
              <c16:uniqueId val="{00000000-5738-4D73-B34A-8CF0982BE9C6}"/>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t>Respondents in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pieChart>
        <c:varyColors val="1"/>
        <c:ser>
          <c:idx val="0"/>
          <c:order val="0"/>
          <c:tx>
            <c:strRef>
              <c:f>Sheet1!$B$1</c:f>
              <c:strCache>
                <c:ptCount val="1"/>
                <c:pt idx="0">
                  <c:v>Respondents in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98D-4920-93BD-936E84C34C1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98D-4920-93BD-936E84C34C1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98D-4920-93BD-936E84C34C1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98D-4920-93BD-936E84C34C1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Non-Availability</c:v>
                </c:pt>
                <c:pt idx="1">
                  <c:v>Off-Farm Resources</c:v>
                </c:pt>
                <c:pt idx="2">
                  <c:v>Large Quantity</c:v>
                </c:pt>
                <c:pt idx="3">
                  <c:v>Initial Loss</c:v>
                </c:pt>
              </c:strCache>
            </c:strRef>
          </c:cat>
          <c:val>
            <c:numRef>
              <c:f>Sheet1!$B$2:$B$5</c:f>
              <c:numCache>
                <c:formatCode>0%</c:formatCode>
                <c:ptCount val="4"/>
                <c:pt idx="0">
                  <c:v>0.63</c:v>
                </c:pt>
                <c:pt idx="1">
                  <c:v>0.1</c:v>
                </c:pt>
                <c:pt idx="2">
                  <c:v>0.18</c:v>
                </c:pt>
                <c:pt idx="3">
                  <c:v>0.08</c:v>
                </c:pt>
              </c:numCache>
            </c:numRef>
          </c:val>
          <c:extLst>
            <c:ext xmlns:c16="http://schemas.microsoft.com/office/drawing/2014/chart" uri="{C3380CC4-5D6E-409C-BE32-E72D297353CC}">
              <c16:uniqueId val="{00000000-F8AA-452E-8C5B-2ED254EBF7E1}"/>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lgn="ctr" rtl="0">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solidFill>
                  <a:sysClr val="windowText" lastClr="000000"/>
                </a:solidFill>
              </a:rPr>
              <a:t>Litercay Rate in (%)</a:t>
            </a:r>
          </a:p>
        </c:rich>
      </c:tx>
      <c:layout>
        <c:manualLayout>
          <c:xMode val="edge"/>
          <c:yMode val="edge"/>
          <c:x val="0.22717958447965086"/>
          <c:y val="2.3809462542672362E-2"/>
        </c:manualLayout>
      </c:layout>
      <c:overlay val="0"/>
      <c:spPr>
        <a:noFill/>
        <a:ln>
          <a:noFill/>
        </a:ln>
        <a:effectLst/>
      </c:spPr>
      <c:txPr>
        <a:bodyPr rot="0" spcFirstLastPara="1" vertOverflow="ellipsis" vert="horz" wrap="square" anchor="ctr" anchorCtr="1"/>
        <a:lstStyle/>
        <a:p>
          <a:pPr algn="ctr" rtl="0">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bar"/>
        <c:grouping val="clustered"/>
        <c:varyColors val="0"/>
        <c:ser>
          <c:idx val="0"/>
          <c:order val="0"/>
          <c:tx>
            <c:strRef>
              <c:f>Sheet1!$B$1</c:f>
              <c:strCache>
                <c:ptCount val="1"/>
                <c:pt idx="0">
                  <c:v>Total Participants in %</c:v>
                </c:pt>
              </c:strCache>
            </c:strRef>
          </c:tx>
          <c:spPr>
            <a:solidFill>
              <a:schemeClr val="accent2">
                <a:shade val="65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Graduate</c:v>
                </c:pt>
                <c:pt idx="1">
                  <c:v>10th Standard</c:v>
                </c:pt>
                <c:pt idx="2">
                  <c:v>12th Standard</c:v>
                </c:pt>
                <c:pt idx="3">
                  <c:v>Illiterate</c:v>
                </c:pt>
              </c:strCache>
            </c:strRef>
          </c:cat>
          <c:val>
            <c:numRef>
              <c:f>Sheet1!$B$2:$B$5</c:f>
              <c:numCache>
                <c:formatCode>0%</c:formatCode>
                <c:ptCount val="4"/>
                <c:pt idx="0">
                  <c:v>0.37</c:v>
                </c:pt>
                <c:pt idx="1">
                  <c:v>7.0000000000000007E-2</c:v>
                </c:pt>
                <c:pt idx="2">
                  <c:v>0.55000000000000004</c:v>
                </c:pt>
                <c:pt idx="3">
                  <c:v>0.01</c:v>
                </c:pt>
              </c:numCache>
            </c:numRef>
          </c:val>
          <c:extLst>
            <c:ext xmlns:c16="http://schemas.microsoft.com/office/drawing/2014/chart" uri="{C3380CC4-5D6E-409C-BE32-E72D297353CC}">
              <c16:uniqueId val="{00000000-D79B-4FE3-8ABC-5EF0A3797310}"/>
            </c:ext>
          </c:extLst>
        </c:ser>
        <c:ser>
          <c:idx val="1"/>
          <c:order val="1"/>
          <c:tx>
            <c:strRef>
              <c:f>Sheet1!$C$1</c:f>
              <c:strCache>
                <c:ptCount val="1"/>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Graduate</c:v>
                </c:pt>
                <c:pt idx="1">
                  <c:v>10th Standard</c:v>
                </c:pt>
                <c:pt idx="2">
                  <c:v>12th Standard</c:v>
                </c:pt>
                <c:pt idx="3">
                  <c:v>Illiterate</c:v>
                </c:pt>
              </c:strCache>
            </c:strRef>
          </c:cat>
          <c:val>
            <c:numRef>
              <c:f>Sheet1!$C$2:$C$5</c:f>
              <c:numCache>
                <c:formatCode>General</c:formatCode>
                <c:ptCount val="4"/>
              </c:numCache>
            </c:numRef>
          </c:val>
          <c:extLst>
            <c:ext xmlns:c16="http://schemas.microsoft.com/office/drawing/2014/chart" uri="{C3380CC4-5D6E-409C-BE32-E72D297353CC}">
              <c16:uniqueId val="{00000001-D79B-4FE3-8ABC-5EF0A3797310}"/>
            </c:ext>
          </c:extLst>
        </c:ser>
        <c:ser>
          <c:idx val="2"/>
          <c:order val="2"/>
          <c:tx>
            <c:strRef>
              <c:f>Sheet1!$D$1</c:f>
              <c:strCache>
                <c:ptCount val="1"/>
              </c:strCache>
            </c:strRef>
          </c:tx>
          <c:spPr>
            <a:solidFill>
              <a:schemeClr val="accent2">
                <a:tint val="65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Graduate</c:v>
                </c:pt>
                <c:pt idx="1">
                  <c:v>10th Standard</c:v>
                </c:pt>
                <c:pt idx="2">
                  <c:v>12th Standard</c:v>
                </c:pt>
                <c:pt idx="3">
                  <c:v>Illiterate</c:v>
                </c:pt>
              </c:strCache>
            </c:strRef>
          </c:cat>
          <c:val>
            <c:numRef>
              <c:f>Sheet1!$D$2:$D$5</c:f>
              <c:numCache>
                <c:formatCode>General</c:formatCode>
                <c:ptCount val="4"/>
              </c:numCache>
            </c:numRef>
          </c:val>
          <c:extLst>
            <c:ext xmlns:c16="http://schemas.microsoft.com/office/drawing/2014/chart" uri="{C3380CC4-5D6E-409C-BE32-E72D297353CC}">
              <c16:uniqueId val="{00000002-D79B-4FE3-8ABC-5EF0A3797310}"/>
            </c:ext>
          </c:extLst>
        </c:ser>
        <c:dLbls>
          <c:dLblPos val="outEnd"/>
          <c:showLegendKey val="0"/>
          <c:showVal val="1"/>
          <c:showCatName val="0"/>
          <c:showSerName val="0"/>
          <c:showPercent val="0"/>
          <c:showBubbleSize val="0"/>
        </c:dLbls>
        <c:gapWidth val="182"/>
        <c:axId val="2072482543"/>
        <c:axId val="2072484943"/>
      </c:barChart>
      <c:catAx>
        <c:axId val="207248254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72484943"/>
        <c:crosses val="autoZero"/>
        <c:auto val="1"/>
        <c:lblAlgn val="ctr"/>
        <c:lblOffset val="100"/>
        <c:noMultiLvlLbl val="0"/>
      </c:catAx>
      <c:valAx>
        <c:axId val="2072484943"/>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72482543"/>
        <c:crosses val="autoZero"/>
        <c:crossBetween val="between"/>
      </c:valAx>
      <c:spPr>
        <a:noFill/>
        <a:ln>
          <a:noFill/>
        </a:ln>
        <a:effectLst/>
      </c:spPr>
    </c:plotArea>
    <c:legend>
      <c:legendPos val="b"/>
      <c:legendEntry>
        <c:idx val="0"/>
        <c:delete val="1"/>
      </c:legendEntry>
      <c:legendEntry>
        <c:idx val="1"/>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solidFill>
                  <a:sysClr val="windowText" lastClr="000000"/>
                </a:solidFill>
              </a:rPr>
              <a:t>Occupation in (%)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Total Participants in (%) </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6D3-4D6D-A2F7-AD4D16C40720}"/>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06D3-4D6D-A2F7-AD4D16C40720}"/>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06D3-4D6D-A2F7-AD4D16C40720}"/>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06D3-4D6D-A2F7-AD4D16C4072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1"/>
                <c:pt idx="0">
                  <c:v>Farming</c:v>
                </c:pt>
              </c:strCache>
            </c:strRef>
          </c:cat>
          <c:val>
            <c:numRef>
              <c:f>Sheet1!$B$2:$B$5</c:f>
              <c:numCache>
                <c:formatCode>General</c:formatCode>
                <c:ptCount val="4"/>
                <c:pt idx="0" formatCode="0%">
                  <c:v>1</c:v>
                </c:pt>
              </c:numCache>
            </c:numRef>
          </c:val>
          <c:extLst>
            <c:ext xmlns:c16="http://schemas.microsoft.com/office/drawing/2014/chart" uri="{C3380CC4-5D6E-409C-BE32-E72D297353CC}">
              <c16:uniqueId val="{00000008-06D3-4D6D-A2F7-AD4D16C40720}"/>
            </c:ext>
          </c:extLst>
        </c:ser>
        <c:dLbls>
          <c:dLblPos val="bestFit"/>
          <c:showLegendKey val="0"/>
          <c:showVal val="1"/>
          <c:showCatName val="0"/>
          <c:showSerName val="0"/>
          <c:showPercent val="0"/>
          <c:showBubbleSize val="0"/>
          <c:showLeaderLines val="1"/>
        </c:dLbls>
      </c:pie3DChart>
      <c:spPr>
        <a:noFill/>
        <a:ln>
          <a:noFill/>
        </a:ln>
        <a:effectLst/>
      </c:spPr>
    </c:plotArea>
    <c:legend>
      <c:legendPos val="b"/>
      <c:legendEntry>
        <c:idx val="1"/>
        <c:delete val="1"/>
      </c:legendEntry>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solidFill>
                  <a:sysClr val="windowText" lastClr="000000"/>
                </a:solidFill>
              </a:rPr>
              <a:t>Family</a:t>
            </a:r>
            <a:r>
              <a:rPr lang="en-US" b="1" baseline="0">
                <a:solidFill>
                  <a:sysClr val="windowText" lastClr="000000"/>
                </a:solidFill>
              </a:rPr>
              <a:t> Size</a:t>
            </a:r>
            <a:r>
              <a:rPr lang="en-US" b="1">
                <a:solidFill>
                  <a:sysClr val="windowText" lastClr="000000"/>
                </a:solidFill>
              </a:rPr>
              <a:t> in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pieChart>
        <c:varyColors val="1"/>
        <c:ser>
          <c:idx val="0"/>
          <c:order val="0"/>
          <c:tx>
            <c:strRef>
              <c:f>Sheet1!$B$1</c:f>
              <c:strCache>
                <c:ptCount val="1"/>
                <c:pt idx="0">
                  <c:v>Total Paticipants in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93A-4B8E-9647-241352F86DC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93A-4B8E-9647-241352F86DC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93A-4B8E-9647-241352F86DC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93A-4B8E-9647-241352F86DCB}"/>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2"/>
                <c:pt idx="0">
                  <c:v>3 to 5</c:v>
                </c:pt>
                <c:pt idx="1">
                  <c:v>&gt; 5</c:v>
                </c:pt>
              </c:strCache>
            </c:strRef>
          </c:cat>
          <c:val>
            <c:numRef>
              <c:f>Sheet1!$B$2:$B$5</c:f>
              <c:numCache>
                <c:formatCode>0%</c:formatCode>
                <c:ptCount val="4"/>
                <c:pt idx="0">
                  <c:v>0.67</c:v>
                </c:pt>
                <c:pt idx="1">
                  <c:v>0.33</c:v>
                </c:pt>
              </c:numCache>
            </c:numRef>
          </c:val>
          <c:extLst>
            <c:ext xmlns:c16="http://schemas.microsoft.com/office/drawing/2014/chart" uri="{C3380CC4-5D6E-409C-BE32-E72D297353CC}">
              <c16:uniqueId val="{00000008-293A-4B8E-9647-241352F86DCB}"/>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b="1">
                <a:solidFill>
                  <a:sysClr val="windowText" lastClr="000000"/>
                </a:solidFill>
              </a:rPr>
              <a:t>Annual</a:t>
            </a:r>
            <a:r>
              <a:rPr lang="en-IN" b="1" baseline="0">
                <a:solidFill>
                  <a:sysClr val="windowText" lastClr="000000"/>
                </a:solidFill>
              </a:rPr>
              <a:t> Income</a:t>
            </a:r>
            <a:r>
              <a:rPr lang="en-IN" b="1">
                <a:solidFill>
                  <a:sysClr val="windowText" lastClr="000000"/>
                </a:solidFill>
              </a:rPr>
              <a:t> in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pieChart>
        <c:varyColors val="1"/>
        <c:ser>
          <c:idx val="0"/>
          <c:order val="0"/>
          <c:tx>
            <c:strRef>
              <c:f>Sheet1!$B$1</c:f>
              <c:strCache>
                <c:ptCount val="1"/>
                <c:pt idx="0">
                  <c:v> Participants in %</c:v>
                </c:pt>
              </c:strCache>
            </c:strRef>
          </c:tx>
          <c:dPt>
            <c:idx val="0"/>
            <c:bubble3D val="0"/>
            <c:spPr>
              <a:solidFill>
                <a:schemeClr val="accent6"/>
              </a:solidFill>
              <a:ln>
                <a:noFill/>
              </a:ln>
              <a:effectLst/>
            </c:spPr>
          </c:dPt>
          <c:dPt>
            <c:idx val="1"/>
            <c:bubble3D val="0"/>
            <c:spPr>
              <a:solidFill>
                <a:schemeClr val="accent5"/>
              </a:solidFill>
              <a:ln>
                <a:noFill/>
              </a:ln>
              <a:effectLst/>
            </c:spPr>
          </c:dPt>
          <c:dPt>
            <c:idx val="2"/>
            <c:bubble3D val="0"/>
            <c:spPr>
              <a:solidFill>
                <a:schemeClr val="accent4"/>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50,000 – 1,00,000</c:v>
                </c:pt>
                <c:pt idx="1">
                  <c:v>1,00,000 – 2,50,000</c:v>
                </c:pt>
                <c:pt idx="2">
                  <c:v>&gt; 2,50,000</c:v>
                </c:pt>
              </c:strCache>
            </c:strRef>
          </c:cat>
          <c:val>
            <c:numRef>
              <c:f>Sheet1!$B$2:$B$4</c:f>
              <c:numCache>
                <c:formatCode>0%</c:formatCode>
                <c:ptCount val="3"/>
                <c:pt idx="0">
                  <c:v>0.01</c:v>
                </c:pt>
                <c:pt idx="1">
                  <c:v>0.82</c:v>
                </c:pt>
                <c:pt idx="2">
                  <c:v>0.17</c:v>
                </c:pt>
              </c:numCache>
            </c:numRef>
          </c:val>
          <c:extLst>
            <c:ext xmlns:c16="http://schemas.microsoft.com/office/drawing/2014/chart" uri="{C3380CC4-5D6E-409C-BE32-E72D297353CC}">
              <c16:uniqueId val="{00000000-E637-4EC1-86D0-156A918413F3}"/>
            </c:ext>
          </c:extLst>
        </c:ser>
        <c:ser>
          <c:idx val="1"/>
          <c:order val="1"/>
          <c:tx>
            <c:strRef>
              <c:f>Sheet1!$C$1</c:f>
              <c:strCache>
                <c:ptCount val="1"/>
              </c:strCache>
            </c:strRef>
          </c:tx>
          <c:dPt>
            <c:idx val="0"/>
            <c:bubble3D val="0"/>
            <c:spPr>
              <a:solidFill>
                <a:schemeClr val="accent6"/>
              </a:solidFill>
              <a:ln>
                <a:noFill/>
              </a:ln>
              <a:effectLst/>
            </c:spPr>
          </c:dPt>
          <c:dPt>
            <c:idx val="1"/>
            <c:bubble3D val="0"/>
            <c:spPr>
              <a:solidFill>
                <a:schemeClr val="accent5"/>
              </a:solidFill>
              <a:ln>
                <a:noFill/>
              </a:ln>
              <a:effectLst/>
            </c:spPr>
          </c:dPt>
          <c:dPt>
            <c:idx val="2"/>
            <c:bubble3D val="0"/>
            <c:spPr>
              <a:solidFill>
                <a:schemeClr val="accent4"/>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50,000 – 1,00,000</c:v>
                </c:pt>
                <c:pt idx="1">
                  <c:v>1,00,000 – 2,50,000</c:v>
                </c:pt>
                <c:pt idx="2">
                  <c:v>&gt; 2,50,000</c:v>
                </c:pt>
              </c:strCache>
            </c:strRef>
          </c:cat>
          <c:val>
            <c:numRef>
              <c:f>Sheet1!$C$2:$C$4</c:f>
              <c:numCache>
                <c:formatCode>General</c:formatCode>
                <c:ptCount val="3"/>
              </c:numCache>
            </c:numRef>
          </c:val>
          <c:extLst>
            <c:ext xmlns:c16="http://schemas.microsoft.com/office/drawing/2014/chart" uri="{C3380CC4-5D6E-409C-BE32-E72D297353CC}">
              <c16:uniqueId val="{00000001-E637-4EC1-86D0-156A918413F3}"/>
            </c:ext>
          </c:extLst>
        </c:ser>
        <c:ser>
          <c:idx val="2"/>
          <c:order val="2"/>
          <c:tx>
            <c:strRef>
              <c:f>Sheet1!$D$1</c:f>
              <c:strCache>
                <c:ptCount val="1"/>
              </c:strCache>
            </c:strRef>
          </c:tx>
          <c:dPt>
            <c:idx val="0"/>
            <c:bubble3D val="0"/>
            <c:spPr>
              <a:solidFill>
                <a:schemeClr val="accent6"/>
              </a:solidFill>
              <a:ln>
                <a:noFill/>
              </a:ln>
              <a:effectLst/>
            </c:spPr>
          </c:dPt>
          <c:dPt>
            <c:idx val="1"/>
            <c:bubble3D val="0"/>
            <c:spPr>
              <a:solidFill>
                <a:schemeClr val="accent5"/>
              </a:solidFill>
              <a:ln>
                <a:noFill/>
              </a:ln>
              <a:effectLst/>
            </c:spPr>
          </c:dPt>
          <c:dPt>
            <c:idx val="2"/>
            <c:bubble3D val="0"/>
            <c:spPr>
              <a:solidFill>
                <a:schemeClr val="accent4"/>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50,000 – 1,00,000</c:v>
                </c:pt>
                <c:pt idx="1">
                  <c:v>1,00,000 – 2,50,000</c:v>
                </c:pt>
                <c:pt idx="2">
                  <c:v>&gt; 2,50,000</c:v>
                </c:pt>
              </c:strCache>
            </c:strRef>
          </c:cat>
          <c:val>
            <c:numRef>
              <c:f>Sheet1!$D$2:$D$4</c:f>
              <c:numCache>
                <c:formatCode>General</c:formatCode>
                <c:ptCount val="3"/>
              </c:numCache>
            </c:numRef>
          </c:val>
          <c:extLst>
            <c:ext xmlns:c16="http://schemas.microsoft.com/office/drawing/2014/chart" uri="{C3380CC4-5D6E-409C-BE32-E72D297353CC}">
              <c16:uniqueId val="{00000002-E637-4EC1-86D0-156A918413F3}"/>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b="1" baseline="0"/>
              <a:t>Land types in (%)</a:t>
            </a:r>
            <a:endParaRPr lang="en-IN"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IN"/>
        </a:p>
      </c:txPr>
    </c:title>
    <c:autoTitleDeleted val="0"/>
    <c:view3D>
      <c:rotX val="15"/>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 Participants %</c:v>
                </c:pt>
              </c:strCache>
            </c:strRef>
          </c:tx>
          <c:dPt>
            <c:idx val="0"/>
            <c:bubble3D val="0"/>
            <c:spPr>
              <a:solidFill>
                <a:schemeClr val="accent2"/>
              </a:solidFill>
              <a:ln>
                <a:noFill/>
              </a:ln>
              <a:effectLst/>
              <a:sp3d/>
            </c:spPr>
            <c:extLst>
              <c:ext xmlns:c16="http://schemas.microsoft.com/office/drawing/2014/chart" uri="{C3380CC4-5D6E-409C-BE32-E72D297353CC}">
                <c16:uniqueId val="{00000001-C24A-4082-993F-D6E0562F640E}"/>
              </c:ext>
            </c:extLst>
          </c:dPt>
          <c:dPt>
            <c:idx val="1"/>
            <c:bubble3D val="0"/>
            <c:spPr>
              <a:solidFill>
                <a:schemeClr val="accent4"/>
              </a:solidFill>
              <a:ln>
                <a:noFill/>
              </a:ln>
              <a:effectLst/>
              <a:sp3d/>
            </c:spPr>
            <c:extLst>
              <c:ext xmlns:c16="http://schemas.microsoft.com/office/drawing/2014/chart" uri="{C3380CC4-5D6E-409C-BE32-E72D297353CC}">
                <c16:uniqueId val="{00000003-C24A-4082-993F-D6E0562F640E}"/>
              </c:ext>
            </c:extLst>
          </c:dPt>
          <c:dPt>
            <c:idx val="2"/>
            <c:bubble3D val="0"/>
            <c:spPr>
              <a:solidFill>
                <a:schemeClr val="accent6"/>
              </a:solidFill>
              <a:ln>
                <a:noFill/>
              </a:ln>
              <a:effectLst/>
              <a:sp3d/>
            </c:spPr>
            <c:extLst>
              <c:ext xmlns:c16="http://schemas.microsoft.com/office/drawing/2014/chart" uri="{C3380CC4-5D6E-409C-BE32-E72D297353CC}">
                <c16:uniqueId val="{00000005-C24A-4082-993F-D6E0562F640E}"/>
              </c:ext>
            </c:extLst>
          </c:dPt>
          <c:dPt>
            <c:idx val="3"/>
            <c:bubble3D val="0"/>
            <c:spPr>
              <a:solidFill>
                <a:schemeClr val="accent2">
                  <a:lumMod val="60000"/>
                </a:schemeClr>
              </a:solidFill>
              <a:ln>
                <a:noFill/>
              </a:ln>
              <a:effectLst/>
              <a:sp3d/>
            </c:spPr>
            <c:extLst>
              <c:ext xmlns:c16="http://schemas.microsoft.com/office/drawing/2014/chart" uri="{C3380CC4-5D6E-409C-BE32-E72D297353CC}">
                <c16:uniqueId val="{00000007-C24A-4082-993F-D6E0562F640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2"/>
                <c:pt idx="0">
                  <c:v>Garden</c:v>
                </c:pt>
                <c:pt idx="1">
                  <c:v>Wet</c:v>
                </c:pt>
              </c:strCache>
            </c:strRef>
          </c:cat>
          <c:val>
            <c:numRef>
              <c:f>Sheet1!$B$2:$B$5</c:f>
              <c:numCache>
                <c:formatCode>0%</c:formatCode>
                <c:ptCount val="4"/>
                <c:pt idx="0">
                  <c:v>0.56999999999999995</c:v>
                </c:pt>
                <c:pt idx="1">
                  <c:v>0.43</c:v>
                </c:pt>
              </c:numCache>
            </c:numRef>
          </c:val>
          <c:extLst>
            <c:ext xmlns:c16="http://schemas.microsoft.com/office/drawing/2014/chart" uri="{C3380CC4-5D6E-409C-BE32-E72D297353CC}">
              <c16:uniqueId val="{00000008-C24A-4082-993F-D6E0562F640E}"/>
            </c:ext>
          </c:extLst>
        </c:ser>
        <c:ser>
          <c:idx val="1"/>
          <c:order val="1"/>
          <c:tx>
            <c:strRef>
              <c:f>Sheet1!$C$1</c:f>
              <c:strCache>
                <c:ptCount val="1"/>
              </c:strCache>
            </c:strRef>
          </c:tx>
          <c:dPt>
            <c:idx val="0"/>
            <c:bubble3D val="0"/>
            <c:spPr>
              <a:solidFill>
                <a:schemeClr val="accent2"/>
              </a:solidFill>
              <a:ln>
                <a:noFill/>
              </a:ln>
              <a:effectLst/>
              <a:sp3d/>
            </c:spPr>
            <c:extLst>
              <c:ext xmlns:c16="http://schemas.microsoft.com/office/drawing/2014/chart" uri="{C3380CC4-5D6E-409C-BE32-E72D297353CC}">
                <c16:uniqueId val="{0000000A-C24A-4082-993F-D6E0562F640E}"/>
              </c:ext>
            </c:extLst>
          </c:dPt>
          <c:dPt>
            <c:idx val="1"/>
            <c:bubble3D val="0"/>
            <c:spPr>
              <a:solidFill>
                <a:schemeClr val="accent4"/>
              </a:solidFill>
              <a:ln>
                <a:noFill/>
              </a:ln>
              <a:effectLst/>
              <a:sp3d/>
            </c:spPr>
            <c:extLst>
              <c:ext xmlns:c16="http://schemas.microsoft.com/office/drawing/2014/chart" uri="{C3380CC4-5D6E-409C-BE32-E72D297353CC}">
                <c16:uniqueId val="{0000000C-C24A-4082-993F-D6E0562F640E}"/>
              </c:ext>
            </c:extLst>
          </c:dPt>
          <c:dPt>
            <c:idx val="2"/>
            <c:bubble3D val="0"/>
            <c:spPr>
              <a:solidFill>
                <a:schemeClr val="accent6"/>
              </a:solidFill>
              <a:ln>
                <a:noFill/>
              </a:ln>
              <a:effectLst/>
              <a:sp3d/>
            </c:spPr>
            <c:extLst>
              <c:ext xmlns:c16="http://schemas.microsoft.com/office/drawing/2014/chart" uri="{C3380CC4-5D6E-409C-BE32-E72D297353CC}">
                <c16:uniqueId val="{0000000E-C24A-4082-993F-D6E0562F640E}"/>
              </c:ext>
            </c:extLst>
          </c:dPt>
          <c:dPt>
            <c:idx val="3"/>
            <c:bubble3D val="0"/>
            <c:spPr>
              <a:solidFill>
                <a:schemeClr val="accent2">
                  <a:lumMod val="60000"/>
                </a:schemeClr>
              </a:solidFill>
              <a:ln>
                <a:noFill/>
              </a:ln>
              <a:effectLst/>
              <a:sp3d/>
            </c:spPr>
            <c:extLst>
              <c:ext xmlns:c16="http://schemas.microsoft.com/office/drawing/2014/chart" uri="{C3380CC4-5D6E-409C-BE32-E72D297353CC}">
                <c16:uniqueId val="{00000010-C24A-4082-993F-D6E0562F640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2"/>
                <c:pt idx="0">
                  <c:v>Garden</c:v>
                </c:pt>
                <c:pt idx="1">
                  <c:v>Wet</c:v>
                </c:pt>
              </c:strCache>
            </c:strRef>
          </c:cat>
          <c:val>
            <c:numRef>
              <c:f>Sheet1!$C$2:$C$5</c:f>
              <c:numCache>
                <c:formatCode>General</c:formatCode>
                <c:ptCount val="4"/>
              </c:numCache>
            </c:numRef>
          </c:val>
          <c:extLst>
            <c:ext xmlns:c16="http://schemas.microsoft.com/office/drawing/2014/chart" uri="{C3380CC4-5D6E-409C-BE32-E72D297353CC}">
              <c16:uniqueId val="{00000011-C24A-4082-993F-D6E0562F640E}"/>
            </c:ext>
          </c:extLst>
        </c:ser>
        <c:ser>
          <c:idx val="2"/>
          <c:order val="2"/>
          <c:tx>
            <c:strRef>
              <c:f>Sheet1!$D$1</c:f>
              <c:strCache>
                <c:ptCount val="1"/>
              </c:strCache>
            </c:strRef>
          </c:tx>
          <c:dPt>
            <c:idx val="0"/>
            <c:bubble3D val="0"/>
            <c:spPr>
              <a:solidFill>
                <a:schemeClr val="accent2"/>
              </a:solidFill>
              <a:ln>
                <a:noFill/>
              </a:ln>
              <a:effectLst/>
              <a:sp3d/>
            </c:spPr>
            <c:extLst>
              <c:ext xmlns:c16="http://schemas.microsoft.com/office/drawing/2014/chart" uri="{C3380CC4-5D6E-409C-BE32-E72D297353CC}">
                <c16:uniqueId val="{00000013-C24A-4082-993F-D6E0562F640E}"/>
              </c:ext>
            </c:extLst>
          </c:dPt>
          <c:dPt>
            <c:idx val="1"/>
            <c:bubble3D val="0"/>
            <c:spPr>
              <a:solidFill>
                <a:schemeClr val="accent4"/>
              </a:solidFill>
              <a:ln>
                <a:noFill/>
              </a:ln>
              <a:effectLst/>
              <a:sp3d/>
            </c:spPr>
            <c:extLst>
              <c:ext xmlns:c16="http://schemas.microsoft.com/office/drawing/2014/chart" uri="{C3380CC4-5D6E-409C-BE32-E72D297353CC}">
                <c16:uniqueId val="{00000015-C24A-4082-993F-D6E0562F640E}"/>
              </c:ext>
            </c:extLst>
          </c:dPt>
          <c:dPt>
            <c:idx val="2"/>
            <c:bubble3D val="0"/>
            <c:spPr>
              <a:solidFill>
                <a:schemeClr val="accent6"/>
              </a:solidFill>
              <a:ln>
                <a:noFill/>
              </a:ln>
              <a:effectLst/>
              <a:sp3d/>
            </c:spPr>
            <c:extLst>
              <c:ext xmlns:c16="http://schemas.microsoft.com/office/drawing/2014/chart" uri="{C3380CC4-5D6E-409C-BE32-E72D297353CC}">
                <c16:uniqueId val="{00000017-C24A-4082-993F-D6E0562F640E}"/>
              </c:ext>
            </c:extLst>
          </c:dPt>
          <c:dPt>
            <c:idx val="3"/>
            <c:bubble3D val="0"/>
            <c:spPr>
              <a:solidFill>
                <a:schemeClr val="accent2">
                  <a:lumMod val="60000"/>
                </a:schemeClr>
              </a:solidFill>
              <a:ln>
                <a:noFill/>
              </a:ln>
              <a:effectLst/>
              <a:sp3d/>
            </c:spPr>
            <c:extLst>
              <c:ext xmlns:c16="http://schemas.microsoft.com/office/drawing/2014/chart" uri="{C3380CC4-5D6E-409C-BE32-E72D297353CC}">
                <c16:uniqueId val="{00000019-C24A-4082-993F-D6E0562F640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2"/>
                <c:pt idx="0">
                  <c:v>Garden</c:v>
                </c:pt>
                <c:pt idx="1">
                  <c:v>Wet</c:v>
                </c:pt>
              </c:strCache>
            </c:strRef>
          </c:cat>
          <c:val>
            <c:numRef>
              <c:f>Sheet1!$D$2:$D$5</c:f>
              <c:numCache>
                <c:formatCode>General</c:formatCode>
                <c:ptCount val="4"/>
              </c:numCache>
            </c:numRef>
          </c:val>
          <c:extLst>
            <c:ext xmlns:c16="http://schemas.microsoft.com/office/drawing/2014/chart" uri="{C3380CC4-5D6E-409C-BE32-E72D297353CC}">
              <c16:uniqueId val="{0000001A-C24A-4082-993F-D6E0562F640E}"/>
            </c:ext>
          </c:extLst>
        </c:ser>
        <c:dLbls>
          <c:showLegendKey val="0"/>
          <c:showVal val="0"/>
          <c:showCatName val="0"/>
          <c:showSerName val="0"/>
          <c:showPercent val="0"/>
          <c:showBubbleSize val="0"/>
          <c:showLeaderLines val="1"/>
        </c:dLbls>
      </c:pie3DChart>
      <c:spPr>
        <a:noFill/>
        <a:ln>
          <a:noFill/>
        </a:ln>
        <a:effectLst/>
      </c:spPr>
    </c:plotArea>
    <c:legend>
      <c:legendPos val="r"/>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t> </a:t>
            </a:r>
            <a:r>
              <a:rPr lang="en-US" b="1">
                <a:solidFill>
                  <a:sysClr val="windowText" lastClr="000000"/>
                </a:solidFill>
              </a:rPr>
              <a:t>Respondents % </a:t>
            </a:r>
            <a:r>
              <a:rPr lang="en-IN" b="1">
                <a:solidFill>
                  <a:sysClr val="windowText" lastClr="000000"/>
                </a:solidFill>
              </a:rPr>
              <a:t>by Land Area</a:t>
            </a:r>
            <a:endParaRPr lang="en-US" b="1">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pieChart>
        <c:varyColors val="1"/>
        <c:ser>
          <c:idx val="0"/>
          <c:order val="0"/>
          <c:tx>
            <c:strRef>
              <c:f>Sheet1!$B$1</c:f>
              <c:strCache>
                <c:ptCount val="1"/>
                <c:pt idx="0">
                  <c:v> Respondents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300-4F57-AAB6-A74B0C9888B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300-4F57-AAB6-A74B0C9888B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300-4F57-AAB6-A74B0C9888B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300-4F57-AAB6-A74B0C9888B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&lt; 2.5 acres</c:v>
                </c:pt>
                <c:pt idx="1">
                  <c:v>2.5–5 acres</c:v>
                </c:pt>
                <c:pt idx="2">
                  <c:v>&gt; 5 acres</c:v>
                </c:pt>
              </c:strCache>
            </c:strRef>
          </c:cat>
          <c:val>
            <c:numRef>
              <c:f>Sheet1!$B$2:$B$5</c:f>
              <c:numCache>
                <c:formatCode>0%</c:formatCode>
                <c:ptCount val="4"/>
                <c:pt idx="0">
                  <c:v>0.67</c:v>
                </c:pt>
                <c:pt idx="1">
                  <c:v>0.22</c:v>
                </c:pt>
                <c:pt idx="2">
                  <c:v>0.11</c:v>
                </c:pt>
              </c:numCache>
            </c:numRef>
          </c:val>
          <c:extLst>
            <c:ext xmlns:c16="http://schemas.microsoft.com/office/drawing/2014/chart" uri="{C3380CC4-5D6E-409C-BE32-E72D297353CC}">
              <c16:uniqueId val="{00000000-24D3-4088-87C4-D1D02B35F80D}"/>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 </a:t>
            </a:r>
            <a:r>
              <a:rPr lang="en-US" b="1"/>
              <a:t>Fertilizer Used in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 Respondents%</c:v>
                </c:pt>
              </c:strCache>
            </c:strRef>
          </c:tx>
          <c:dPt>
            <c:idx val="0"/>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1-0EE4-4C60-BFEC-F6C6C62D196F}"/>
              </c:ext>
            </c:extLst>
          </c:dPt>
          <c:dPt>
            <c:idx val="1"/>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3-0EE4-4C60-BFEC-F6C6C62D196F}"/>
              </c:ext>
            </c:extLst>
          </c:dPt>
          <c:dPt>
            <c:idx val="2"/>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5-0EE4-4C60-BFEC-F6C6C62D196F}"/>
              </c:ext>
            </c:extLst>
          </c:dPt>
          <c:dPt>
            <c:idx val="3"/>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7-0EE4-4C60-BFEC-F6C6C62D196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2"/>
                <c:pt idx="0">
                  <c:v>In Organic</c:v>
                </c:pt>
                <c:pt idx="1">
                  <c:v>Organic</c:v>
                </c:pt>
              </c:strCache>
            </c:strRef>
          </c:cat>
          <c:val>
            <c:numRef>
              <c:f>Sheet1!$B$2:$B$5</c:f>
              <c:numCache>
                <c:formatCode>0%</c:formatCode>
                <c:ptCount val="4"/>
                <c:pt idx="0">
                  <c:v>0.62</c:v>
                </c:pt>
                <c:pt idx="1">
                  <c:v>0.38</c:v>
                </c:pt>
              </c:numCache>
            </c:numRef>
          </c:val>
          <c:extLst>
            <c:ext xmlns:c16="http://schemas.microsoft.com/office/drawing/2014/chart" uri="{C3380CC4-5D6E-409C-BE32-E72D297353CC}">
              <c16:uniqueId val="{00000008-0EE4-4C60-BFEC-F6C6C62D196F}"/>
            </c:ext>
          </c:extLst>
        </c:ser>
        <c:dLbls>
          <c:dLblPos val="bestFit"/>
          <c:showLegendKey val="0"/>
          <c:showVal val="1"/>
          <c:showCatName val="0"/>
          <c:showSerName val="0"/>
          <c:showPercent val="0"/>
          <c:showBubbleSize val="0"/>
          <c:showLeaderLines val="1"/>
        </c:dLbls>
      </c:pie3DChart>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solidFill>
                  <a:sysClr val="windowText" lastClr="000000"/>
                </a:solidFill>
              </a:rPr>
              <a:t>Preference in (%)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Preference in (%) </c:v>
                </c:pt>
              </c:strCache>
            </c:strRef>
          </c:tx>
          <c:dPt>
            <c:idx val="0"/>
            <c:bubble3D val="0"/>
            <c:spPr>
              <a:solidFill>
                <a:schemeClr val="accent4">
                  <a:shade val="58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0970-4E6A-9DF4-E2240840B3F6}"/>
              </c:ext>
            </c:extLst>
          </c:dPt>
          <c:dPt>
            <c:idx val="1"/>
            <c:bubble3D val="0"/>
            <c:spPr>
              <a:solidFill>
                <a:schemeClr val="accent4">
                  <a:shade val="86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0970-4E6A-9DF4-E2240840B3F6}"/>
              </c:ext>
            </c:extLst>
          </c:dPt>
          <c:dPt>
            <c:idx val="2"/>
            <c:bubble3D val="0"/>
            <c:spPr>
              <a:solidFill>
                <a:schemeClr val="accent4">
                  <a:tint val="86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5-0970-4E6A-9DF4-E2240840B3F6}"/>
              </c:ext>
            </c:extLst>
          </c:dPt>
          <c:dPt>
            <c:idx val="3"/>
            <c:bubble3D val="0"/>
            <c:spPr>
              <a:solidFill>
                <a:schemeClr val="accent4">
                  <a:tint val="58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7-0970-4E6A-9DF4-E2240840B3F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1"/>
                <c:pt idx="0">
                  <c:v>Organic</c:v>
                </c:pt>
              </c:strCache>
            </c:strRef>
          </c:cat>
          <c:val>
            <c:numRef>
              <c:f>Sheet1!$B$2:$B$5</c:f>
              <c:numCache>
                <c:formatCode>General</c:formatCode>
                <c:ptCount val="4"/>
                <c:pt idx="0" formatCode="0%">
                  <c:v>1</c:v>
                </c:pt>
              </c:numCache>
            </c:numRef>
          </c:val>
          <c:extLst>
            <c:ext xmlns:c16="http://schemas.microsoft.com/office/drawing/2014/chart" uri="{C3380CC4-5D6E-409C-BE32-E72D297353CC}">
              <c16:uniqueId val="{00000008-0970-4E6A-9DF4-E2240840B3F6}"/>
            </c:ext>
          </c:extLst>
        </c:ser>
        <c:dLbls>
          <c:dLblPos val="bestFit"/>
          <c:showLegendKey val="0"/>
          <c:showVal val="1"/>
          <c:showCatName val="0"/>
          <c:showSerName val="0"/>
          <c:showPercent val="0"/>
          <c:showBubbleSize val="0"/>
          <c:showLeaderLines val="1"/>
        </c:dLbls>
      </c:pie3DChart>
      <c:spPr>
        <a:noFill/>
        <a:ln>
          <a:noFill/>
        </a:ln>
        <a:effectLst/>
      </c:spPr>
    </c:plotArea>
    <c:legend>
      <c:legendPos val="b"/>
      <c:legendEntry>
        <c:idx val="1"/>
        <c:delete val="1"/>
      </c:legendEntry>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5">
  <a:schemeClr val="accent2"/>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withinLinear" id="17">
  <a:schemeClr val="accent4"/>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702FF-2082-4259-8F11-16E52F1A6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23</Pages>
  <Words>4241</Words>
  <Characters>27991</Characters>
  <Application>Microsoft Office Word</Application>
  <DocSecurity>0</DocSecurity>
  <Lines>666</Lines>
  <Paragraphs>293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Sudesh Visvanathan</dc:creator>
  <cp:keywords/>
  <dc:description/>
  <cp:lastModifiedBy>Sudesh Visvanathan</cp:lastModifiedBy>
  <cp:revision>10</cp:revision>
  <dcterms:created xsi:type="dcterms:W3CDTF">2025-08-28T10:47:00Z</dcterms:created>
  <dcterms:modified xsi:type="dcterms:W3CDTF">2025-08-28T11:45:00Z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fd12e906-a49d-4188-be6a-892495807798</vt:lpwstr>
  </property>
</Properties>
</file>