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3D9" w:rsidRPr="00321564" w:rsidRDefault="004213D9" w:rsidP="005D7AFA">
      <w:pPr>
        <w:spacing w:before="240" w:line="360" w:lineRule="auto"/>
        <w:jc w:val="center"/>
        <w:rPr>
          <w:rStyle w:val="Emphasis"/>
          <w:rFonts w:ascii="Times New Roman" w:hAnsi="Times New Roman" w:cs="Times New Roman"/>
          <w:color w:val="000000" w:themeColor="text1"/>
          <w:sz w:val="24"/>
          <w:szCs w:val="24"/>
        </w:rPr>
      </w:pPr>
      <w:r w:rsidRPr="00321564">
        <w:rPr>
          <w:rStyle w:val="Strong"/>
          <w:rFonts w:ascii="Times New Roman" w:hAnsi="Times New Roman" w:cs="Times New Roman"/>
          <w:color w:val="000000" w:themeColor="text1"/>
          <w:sz w:val="24"/>
          <w:szCs w:val="24"/>
        </w:rPr>
        <w:t>IMPACT OF FRONTLINE DEMONSTRATIONS ON WHITE JOWAR VARIETY NTJ-5 IN SPSR NELLORE DISTRICT</w:t>
      </w:r>
      <w:r w:rsidR="007458F8" w:rsidRPr="00321564">
        <w:rPr>
          <w:rStyle w:val="Strong"/>
          <w:rFonts w:ascii="Times New Roman" w:hAnsi="Times New Roman" w:cs="Times New Roman"/>
          <w:color w:val="000000" w:themeColor="text1"/>
          <w:sz w:val="24"/>
          <w:szCs w:val="24"/>
        </w:rPr>
        <w:t xml:space="preserve"> OF ANDHRA PRADESH</w:t>
      </w:r>
      <w:r w:rsidR="00E43424" w:rsidRPr="00321564">
        <w:rPr>
          <w:rStyle w:val="Strong"/>
          <w:rFonts w:ascii="Times New Roman" w:hAnsi="Times New Roman" w:cs="Times New Roman"/>
          <w:color w:val="000000" w:themeColor="text1"/>
          <w:sz w:val="24"/>
          <w:szCs w:val="24"/>
        </w:rPr>
        <w:t>, INDIA</w:t>
      </w:r>
      <w:bookmarkStart w:id="0" w:name="_GoBack"/>
      <w:bookmarkEnd w:id="0"/>
    </w:p>
    <w:p w:rsidR="00D322E7" w:rsidRPr="00321564" w:rsidRDefault="00193FCC" w:rsidP="00766DF1">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ABSTRACT</w:t>
      </w:r>
    </w:p>
    <w:p w:rsidR="00FD6854" w:rsidRPr="00321564" w:rsidRDefault="004213D9" w:rsidP="0009446A">
      <w:pPr>
        <w:spacing w:before="240" w:line="360" w:lineRule="auto"/>
        <w:ind w:firstLine="720"/>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The Frontline Demonstrations (FLDs) were conducted by Kr</w:t>
      </w:r>
      <w:r w:rsidR="00FE0330" w:rsidRPr="00321564">
        <w:rPr>
          <w:rFonts w:ascii="Times New Roman" w:hAnsi="Times New Roman" w:cs="Times New Roman"/>
          <w:color w:val="000000" w:themeColor="text1"/>
          <w:sz w:val="24"/>
          <w:szCs w:val="24"/>
        </w:rPr>
        <w:t xml:space="preserve">ishi Vigyan Kendra, Nellore, to popularize the </w:t>
      </w:r>
      <w:r w:rsidRPr="00321564">
        <w:rPr>
          <w:rFonts w:ascii="Times New Roman" w:hAnsi="Times New Roman" w:cs="Times New Roman"/>
          <w:color w:val="000000" w:themeColor="text1"/>
          <w:sz w:val="24"/>
          <w:szCs w:val="24"/>
        </w:rPr>
        <w:t>white jowar variety</w:t>
      </w:r>
      <w:r w:rsidR="00925604"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 xml:space="preserve"> </w:t>
      </w:r>
      <w:r w:rsidRPr="00321564">
        <w:rPr>
          <w:rStyle w:val="Emphasis"/>
          <w:rFonts w:ascii="Times New Roman" w:hAnsi="Times New Roman" w:cs="Times New Roman"/>
          <w:i w:val="0"/>
          <w:iCs w:val="0"/>
          <w:color w:val="000000" w:themeColor="text1"/>
          <w:sz w:val="24"/>
          <w:szCs w:val="24"/>
        </w:rPr>
        <w:t>Nandyal Tella Jonna-5</w:t>
      </w:r>
      <w:r w:rsidRPr="00321564">
        <w:rPr>
          <w:rFonts w:ascii="Times New Roman" w:hAnsi="Times New Roman" w:cs="Times New Roman"/>
          <w:color w:val="000000" w:themeColor="text1"/>
          <w:sz w:val="24"/>
          <w:szCs w:val="24"/>
        </w:rPr>
        <w:t xml:space="preserve"> (NTJ-5) in </w:t>
      </w:r>
      <w:r w:rsidR="00FE0330" w:rsidRPr="00321564">
        <w:rPr>
          <w:rFonts w:ascii="Times New Roman" w:hAnsi="Times New Roman" w:cs="Times New Roman"/>
          <w:color w:val="000000" w:themeColor="text1"/>
          <w:sz w:val="24"/>
          <w:szCs w:val="24"/>
        </w:rPr>
        <w:t xml:space="preserve">the SPSR Nellore district. </w:t>
      </w:r>
      <w:r w:rsidRPr="00321564">
        <w:rPr>
          <w:rFonts w:ascii="Times New Roman" w:hAnsi="Times New Roman" w:cs="Times New Roman"/>
          <w:color w:val="000000" w:themeColor="text1"/>
          <w:sz w:val="24"/>
          <w:szCs w:val="24"/>
        </w:rPr>
        <w:t>NTJ-5, r</w:t>
      </w:r>
      <w:r w:rsidR="00925604" w:rsidRPr="00321564">
        <w:rPr>
          <w:rFonts w:ascii="Times New Roman" w:hAnsi="Times New Roman" w:cs="Times New Roman"/>
          <w:color w:val="000000" w:themeColor="text1"/>
          <w:sz w:val="24"/>
          <w:szCs w:val="24"/>
        </w:rPr>
        <w:t>eleased by Acharya N.G. Ranga Agricultural University</w:t>
      </w:r>
      <w:r w:rsidR="00FE0330" w:rsidRPr="00321564">
        <w:rPr>
          <w:rFonts w:ascii="Times New Roman" w:hAnsi="Times New Roman" w:cs="Times New Roman"/>
          <w:color w:val="000000" w:themeColor="text1"/>
          <w:sz w:val="24"/>
          <w:szCs w:val="24"/>
        </w:rPr>
        <w:t xml:space="preserve"> in 2018, is a </w:t>
      </w:r>
      <w:r w:rsidR="00FE0330" w:rsidRPr="00321564">
        <w:rPr>
          <w:rFonts w:ascii="Times New Roman" w:eastAsia="Times New Roman" w:hAnsi="Times New Roman" w:cs="Times New Roman"/>
          <w:color w:val="000000" w:themeColor="text1"/>
          <w:sz w:val="24"/>
          <w:szCs w:val="24"/>
        </w:rPr>
        <w:t>short-statured</w:t>
      </w:r>
      <w:r w:rsidR="00FE0330" w:rsidRPr="00321564">
        <w:rPr>
          <w:rFonts w:ascii="Times New Roman" w:hAnsi="Times New Roman" w:cs="Times New Roman"/>
          <w:color w:val="000000" w:themeColor="text1"/>
          <w:sz w:val="24"/>
          <w:szCs w:val="24"/>
        </w:rPr>
        <w:t xml:space="preserve">, </w:t>
      </w:r>
      <w:r w:rsidRPr="00321564">
        <w:rPr>
          <w:rFonts w:ascii="Times New Roman" w:hAnsi="Times New Roman" w:cs="Times New Roman"/>
          <w:color w:val="000000" w:themeColor="text1"/>
          <w:sz w:val="24"/>
          <w:szCs w:val="24"/>
        </w:rPr>
        <w:t xml:space="preserve">non-lodging, dual-purpose sorghum variety with medium bold grains, moderately tolerant to shoot fly, stem borer and blight. It has a crop duration of approximately </w:t>
      </w:r>
      <w:r w:rsidR="00B20275" w:rsidRPr="00321564">
        <w:rPr>
          <w:rFonts w:ascii="Times New Roman" w:hAnsi="Times New Roman" w:cs="Times New Roman"/>
          <w:color w:val="000000" w:themeColor="text1"/>
          <w:sz w:val="24"/>
          <w:szCs w:val="24"/>
        </w:rPr>
        <w:t>95-</w:t>
      </w:r>
      <w:r w:rsidR="00FE0330" w:rsidRPr="00321564">
        <w:rPr>
          <w:rFonts w:ascii="Times New Roman" w:hAnsi="Times New Roman" w:cs="Times New Roman"/>
          <w:color w:val="000000" w:themeColor="text1"/>
          <w:sz w:val="24"/>
          <w:szCs w:val="24"/>
        </w:rPr>
        <w:t>105 days with</w:t>
      </w:r>
      <w:r w:rsidRPr="00321564">
        <w:rPr>
          <w:rFonts w:ascii="Times New Roman" w:hAnsi="Times New Roman" w:cs="Times New Roman"/>
          <w:color w:val="000000" w:themeColor="text1"/>
          <w:sz w:val="24"/>
          <w:szCs w:val="24"/>
        </w:rPr>
        <w:t xml:space="preserve"> a yield potential of 4500-5000 kg/ha under optimal conditions. </w:t>
      </w:r>
      <w:r w:rsidRPr="00321564">
        <w:rPr>
          <w:rFonts w:ascii="Times New Roman" w:eastAsia="Times New Roman" w:hAnsi="Times New Roman" w:cs="Times New Roman"/>
          <w:color w:val="000000" w:themeColor="text1"/>
          <w:sz w:val="24"/>
          <w:szCs w:val="24"/>
          <w:lang w:val="en-US" w:eastAsia="en-US"/>
        </w:rPr>
        <w:t xml:space="preserve">The demonstrations were </w:t>
      </w:r>
      <w:r w:rsidR="00925604" w:rsidRPr="00321564">
        <w:rPr>
          <w:rFonts w:ascii="Times New Roman" w:eastAsia="Times New Roman" w:hAnsi="Times New Roman" w:cs="Times New Roman"/>
          <w:color w:val="000000" w:themeColor="text1"/>
          <w:sz w:val="24"/>
          <w:szCs w:val="24"/>
          <w:lang w:val="en-US" w:eastAsia="en-US"/>
        </w:rPr>
        <w:t xml:space="preserve">conducted </w:t>
      </w:r>
      <w:r w:rsidRPr="00321564">
        <w:rPr>
          <w:rFonts w:ascii="Times New Roman" w:eastAsia="Times New Roman" w:hAnsi="Times New Roman" w:cs="Times New Roman"/>
          <w:color w:val="000000" w:themeColor="text1"/>
          <w:sz w:val="24"/>
          <w:szCs w:val="24"/>
          <w:lang w:val="en-US" w:eastAsia="en-US"/>
        </w:rPr>
        <w:t xml:space="preserve">across 15 locations over three consecutive </w:t>
      </w:r>
      <w:r w:rsidRPr="00321564">
        <w:rPr>
          <w:rFonts w:ascii="Times New Roman" w:eastAsia="Times New Roman" w:hAnsi="Times New Roman" w:cs="Times New Roman"/>
          <w:i/>
          <w:iCs/>
          <w:color w:val="000000" w:themeColor="text1"/>
          <w:sz w:val="24"/>
          <w:szCs w:val="24"/>
          <w:lang w:val="en-US" w:eastAsia="en-US"/>
        </w:rPr>
        <w:t xml:space="preserve">rabi </w:t>
      </w:r>
      <w:r w:rsidRPr="00321564">
        <w:rPr>
          <w:rFonts w:ascii="Times New Roman" w:eastAsia="Times New Roman" w:hAnsi="Times New Roman" w:cs="Times New Roman"/>
          <w:color w:val="000000" w:themeColor="text1"/>
          <w:sz w:val="24"/>
          <w:szCs w:val="24"/>
          <w:lang w:val="en-US" w:eastAsia="en-US"/>
        </w:rPr>
        <w:t>seasons of 2022-23, 2023-24, and 2024-25</w:t>
      </w:r>
      <w:r w:rsidR="000730C0" w:rsidRPr="00321564">
        <w:rPr>
          <w:rFonts w:ascii="Times New Roman" w:eastAsia="Times New Roman" w:hAnsi="Times New Roman" w:cs="Times New Roman"/>
          <w:color w:val="000000" w:themeColor="text1"/>
          <w:sz w:val="24"/>
          <w:szCs w:val="24"/>
          <w:lang w:val="en-US" w:eastAsia="en-US"/>
        </w:rPr>
        <w:t xml:space="preserve"> </w:t>
      </w:r>
      <w:r w:rsidR="00DB6813" w:rsidRPr="00321564">
        <w:rPr>
          <w:rFonts w:ascii="Times New Roman" w:eastAsia="Times New Roman" w:hAnsi="Times New Roman" w:cs="Times New Roman"/>
          <w:color w:val="000000" w:themeColor="text1"/>
          <w:sz w:val="24"/>
          <w:szCs w:val="24"/>
          <w:lang w:val="en-US" w:eastAsia="en-US"/>
        </w:rPr>
        <w:t xml:space="preserve">in the mandals of Ananthasagaram, Chejerla, Marripadu and Kaluvoya </w:t>
      </w:r>
      <w:r w:rsidR="000730C0" w:rsidRPr="00321564">
        <w:rPr>
          <w:rFonts w:ascii="Times New Roman" w:hAnsi="Times New Roman" w:cs="Times New Roman"/>
          <w:color w:val="000000" w:themeColor="text1"/>
          <w:sz w:val="24"/>
          <w:szCs w:val="24"/>
        </w:rPr>
        <w:t xml:space="preserve">to </w:t>
      </w:r>
      <w:r w:rsidR="00925604" w:rsidRPr="00321564">
        <w:rPr>
          <w:rFonts w:ascii="Times New Roman" w:hAnsi="Times New Roman" w:cs="Times New Roman"/>
          <w:color w:val="000000" w:themeColor="text1"/>
          <w:sz w:val="24"/>
          <w:szCs w:val="24"/>
        </w:rPr>
        <w:t xml:space="preserve">evaluate </w:t>
      </w:r>
      <w:r w:rsidR="000730C0" w:rsidRPr="00321564">
        <w:rPr>
          <w:rFonts w:ascii="Times New Roman" w:hAnsi="Times New Roman" w:cs="Times New Roman"/>
          <w:color w:val="000000" w:themeColor="text1"/>
          <w:sz w:val="24"/>
          <w:szCs w:val="24"/>
        </w:rPr>
        <w:t xml:space="preserve">the performance of NTJ-5 </w:t>
      </w:r>
      <w:r w:rsidR="00925604" w:rsidRPr="00321564">
        <w:rPr>
          <w:rFonts w:ascii="Times New Roman" w:hAnsi="Times New Roman" w:cs="Times New Roman"/>
          <w:color w:val="000000" w:themeColor="text1"/>
          <w:sz w:val="24"/>
          <w:szCs w:val="24"/>
        </w:rPr>
        <w:t xml:space="preserve">compared to </w:t>
      </w:r>
      <w:r w:rsidR="000730C0" w:rsidRPr="00321564">
        <w:rPr>
          <w:rFonts w:ascii="Times New Roman" w:hAnsi="Times New Roman" w:cs="Times New Roman"/>
          <w:color w:val="000000" w:themeColor="text1"/>
          <w:sz w:val="24"/>
          <w:szCs w:val="24"/>
        </w:rPr>
        <w:t>local varieties/hybrids</w:t>
      </w:r>
      <w:r w:rsidR="00B340C5" w:rsidRPr="00321564">
        <w:rPr>
          <w:rFonts w:ascii="Times New Roman" w:hAnsi="Times New Roman" w:cs="Times New Roman"/>
          <w:color w:val="000000" w:themeColor="text1"/>
          <w:sz w:val="24"/>
          <w:szCs w:val="24"/>
        </w:rPr>
        <w:t xml:space="preserve"> under farmer field conditions</w:t>
      </w:r>
      <w:r w:rsidRPr="00321564">
        <w:rPr>
          <w:rFonts w:ascii="Times New Roman" w:eastAsia="Times New Roman" w:hAnsi="Times New Roman" w:cs="Times New Roman"/>
          <w:color w:val="000000" w:themeColor="text1"/>
          <w:sz w:val="24"/>
          <w:szCs w:val="24"/>
          <w:lang w:val="en-US" w:eastAsia="en-US"/>
        </w:rPr>
        <w:t xml:space="preserve">. </w:t>
      </w:r>
      <w:r w:rsidR="00B340C5" w:rsidRPr="00321564">
        <w:rPr>
          <w:rFonts w:ascii="Times New Roman" w:hAnsi="Times New Roman" w:cs="Times New Roman"/>
          <w:color w:val="000000" w:themeColor="text1"/>
          <w:sz w:val="24"/>
          <w:szCs w:val="24"/>
        </w:rPr>
        <w:t xml:space="preserve">Standard package of practices including seed treatment, INM, IPM and IDM were followed in FLD plots and yield, economic returns and key agronomic traits were recorded and analyzed. </w:t>
      </w:r>
      <w:r w:rsidR="00850251" w:rsidRPr="00321564">
        <w:rPr>
          <w:rFonts w:ascii="Times New Roman" w:hAnsi="Times New Roman" w:cs="Times New Roman"/>
          <w:color w:val="000000" w:themeColor="text1"/>
          <w:sz w:val="24"/>
          <w:szCs w:val="24"/>
        </w:rPr>
        <w:t>As an outcome of FLD, it was noticed that the demo variety (NTJ-5) r</w:t>
      </w:r>
      <w:r w:rsidR="007B6E2A" w:rsidRPr="00321564">
        <w:rPr>
          <w:rFonts w:ascii="Times New Roman" w:hAnsi="Times New Roman" w:cs="Times New Roman"/>
          <w:color w:val="000000" w:themeColor="text1"/>
          <w:sz w:val="24"/>
          <w:szCs w:val="24"/>
        </w:rPr>
        <w:t xml:space="preserve">ecorded </w:t>
      </w:r>
      <w:r w:rsidR="000730C0" w:rsidRPr="00321564">
        <w:rPr>
          <w:rFonts w:ascii="Times New Roman" w:hAnsi="Times New Roman" w:cs="Times New Roman"/>
          <w:color w:val="000000" w:themeColor="text1"/>
          <w:sz w:val="24"/>
          <w:szCs w:val="24"/>
        </w:rPr>
        <w:t xml:space="preserve">an </w:t>
      </w:r>
      <w:r w:rsidR="007B6E2A" w:rsidRPr="00321564">
        <w:rPr>
          <w:rFonts w:ascii="Times New Roman" w:hAnsi="Times New Roman" w:cs="Times New Roman"/>
          <w:color w:val="000000" w:themeColor="text1"/>
          <w:sz w:val="24"/>
          <w:szCs w:val="24"/>
        </w:rPr>
        <w:t>average yield of 3889 kg</w:t>
      </w:r>
      <w:r w:rsidR="00850251" w:rsidRPr="00321564">
        <w:rPr>
          <w:rFonts w:ascii="Times New Roman" w:hAnsi="Times New Roman" w:cs="Times New Roman"/>
          <w:color w:val="000000" w:themeColor="text1"/>
          <w:sz w:val="24"/>
          <w:szCs w:val="24"/>
        </w:rPr>
        <w:t xml:space="preserve">/ha </w:t>
      </w:r>
      <w:r w:rsidR="000730C0" w:rsidRPr="00321564">
        <w:rPr>
          <w:rFonts w:ascii="Times New Roman" w:hAnsi="Times New Roman" w:cs="Times New Roman"/>
          <w:color w:val="000000" w:themeColor="text1"/>
          <w:sz w:val="24"/>
          <w:szCs w:val="24"/>
        </w:rPr>
        <w:t xml:space="preserve">with a </w:t>
      </w:r>
      <w:r w:rsidR="00850251" w:rsidRPr="00321564">
        <w:rPr>
          <w:rFonts w:ascii="Times New Roman" w:hAnsi="Times New Roman" w:cs="Times New Roman"/>
          <w:color w:val="000000" w:themeColor="text1"/>
          <w:sz w:val="24"/>
          <w:szCs w:val="24"/>
        </w:rPr>
        <w:t>net return</w:t>
      </w:r>
      <w:r w:rsidR="000730C0" w:rsidRPr="00321564">
        <w:rPr>
          <w:rFonts w:ascii="Times New Roman" w:hAnsi="Times New Roman" w:cs="Times New Roman"/>
          <w:color w:val="000000" w:themeColor="text1"/>
          <w:sz w:val="24"/>
          <w:szCs w:val="24"/>
        </w:rPr>
        <w:t>s</w:t>
      </w:r>
      <w:r w:rsidR="00850251" w:rsidRPr="00321564">
        <w:rPr>
          <w:rFonts w:ascii="Times New Roman" w:hAnsi="Times New Roman" w:cs="Times New Roman"/>
          <w:color w:val="000000" w:themeColor="text1"/>
          <w:sz w:val="24"/>
          <w:szCs w:val="24"/>
        </w:rPr>
        <w:t xml:space="preserve"> of</w:t>
      </w:r>
      <w:r w:rsidR="00BE795C" w:rsidRPr="00321564">
        <w:rPr>
          <w:rFonts w:ascii="Times New Roman" w:hAnsi="Times New Roman" w:cs="Times New Roman"/>
          <w:color w:val="000000" w:themeColor="text1"/>
          <w:sz w:val="24"/>
          <w:szCs w:val="24"/>
        </w:rPr>
        <w:t xml:space="preserve"> Rs. 80588</w:t>
      </w:r>
      <w:r w:rsidR="00925604" w:rsidRPr="00321564">
        <w:rPr>
          <w:rFonts w:ascii="Times New Roman" w:hAnsi="Times New Roman" w:cs="Times New Roman"/>
          <w:color w:val="000000" w:themeColor="text1"/>
          <w:sz w:val="24"/>
          <w:szCs w:val="24"/>
        </w:rPr>
        <w:t>/ha</w:t>
      </w:r>
      <w:r w:rsidR="00344D70" w:rsidRPr="00321564">
        <w:rPr>
          <w:rFonts w:ascii="Times New Roman" w:hAnsi="Times New Roman" w:cs="Times New Roman"/>
          <w:color w:val="000000" w:themeColor="text1"/>
          <w:sz w:val="24"/>
          <w:szCs w:val="24"/>
        </w:rPr>
        <w:t xml:space="preserve"> as compared to </w:t>
      </w:r>
      <w:r w:rsidR="00FE0330" w:rsidRPr="00321564">
        <w:rPr>
          <w:rFonts w:ascii="Times New Roman" w:hAnsi="Times New Roman" w:cs="Times New Roman"/>
          <w:color w:val="000000" w:themeColor="text1"/>
          <w:sz w:val="24"/>
          <w:szCs w:val="24"/>
        </w:rPr>
        <w:t xml:space="preserve">the </w:t>
      </w:r>
      <w:r w:rsidR="00344D70" w:rsidRPr="00321564">
        <w:rPr>
          <w:rFonts w:ascii="Times New Roman" w:hAnsi="Times New Roman" w:cs="Times New Roman"/>
          <w:color w:val="000000" w:themeColor="text1"/>
          <w:sz w:val="24"/>
          <w:szCs w:val="24"/>
        </w:rPr>
        <w:t>farmer</w:t>
      </w:r>
      <w:r w:rsidR="000730C0" w:rsidRPr="00321564">
        <w:rPr>
          <w:rFonts w:ascii="Times New Roman" w:hAnsi="Times New Roman" w:cs="Times New Roman"/>
          <w:color w:val="000000" w:themeColor="text1"/>
          <w:sz w:val="24"/>
          <w:szCs w:val="24"/>
        </w:rPr>
        <w:t>’</w:t>
      </w:r>
      <w:r w:rsidR="00344D70" w:rsidRPr="00321564">
        <w:rPr>
          <w:rFonts w:ascii="Times New Roman" w:hAnsi="Times New Roman" w:cs="Times New Roman"/>
          <w:color w:val="000000" w:themeColor="text1"/>
          <w:sz w:val="24"/>
          <w:szCs w:val="24"/>
        </w:rPr>
        <w:t xml:space="preserve">s practice, which produced </w:t>
      </w:r>
      <w:r w:rsidR="000730C0" w:rsidRPr="00321564">
        <w:rPr>
          <w:rFonts w:ascii="Times New Roman" w:hAnsi="Times New Roman" w:cs="Times New Roman"/>
          <w:color w:val="000000" w:themeColor="text1"/>
          <w:sz w:val="24"/>
          <w:szCs w:val="24"/>
        </w:rPr>
        <w:t xml:space="preserve">an </w:t>
      </w:r>
      <w:r w:rsidR="00344D70" w:rsidRPr="00321564">
        <w:rPr>
          <w:rFonts w:ascii="Times New Roman" w:hAnsi="Times New Roman" w:cs="Times New Roman"/>
          <w:color w:val="000000" w:themeColor="text1"/>
          <w:sz w:val="24"/>
          <w:szCs w:val="24"/>
        </w:rPr>
        <w:t xml:space="preserve">average yield of </w:t>
      </w:r>
      <w:r w:rsidR="007B6E2A" w:rsidRPr="00321564">
        <w:rPr>
          <w:rFonts w:ascii="Times New Roman" w:hAnsi="Times New Roman" w:cs="Times New Roman"/>
          <w:color w:val="000000" w:themeColor="text1"/>
          <w:sz w:val="24"/>
          <w:szCs w:val="24"/>
        </w:rPr>
        <w:t xml:space="preserve">3412 kg/ha </w:t>
      </w:r>
      <w:r w:rsidR="00344D70" w:rsidRPr="00321564">
        <w:rPr>
          <w:rFonts w:ascii="Times New Roman" w:hAnsi="Times New Roman" w:cs="Times New Roman"/>
          <w:color w:val="000000" w:themeColor="text1"/>
          <w:sz w:val="24"/>
          <w:szCs w:val="24"/>
        </w:rPr>
        <w:t xml:space="preserve">with </w:t>
      </w:r>
      <w:r w:rsidR="000730C0" w:rsidRPr="00321564">
        <w:rPr>
          <w:rFonts w:ascii="Times New Roman" w:hAnsi="Times New Roman" w:cs="Times New Roman"/>
          <w:color w:val="000000" w:themeColor="text1"/>
          <w:sz w:val="24"/>
          <w:szCs w:val="24"/>
        </w:rPr>
        <w:t xml:space="preserve">a </w:t>
      </w:r>
      <w:r w:rsidR="00344D70" w:rsidRPr="00321564">
        <w:rPr>
          <w:rFonts w:ascii="Times New Roman" w:hAnsi="Times New Roman" w:cs="Times New Roman"/>
          <w:color w:val="000000" w:themeColor="text1"/>
          <w:sz w:val="24"/>
          <w:szCs w:val="24"/>
        </w:rPr>
        <w:t>net return</w:t>
      </w:r>
      <w:r w:rsidR="000730C0" w:rsidRPr="00321564">
        <w:rPr>
          <w:rFonts w:ascii="Times New Roman" w:hAnsi="Times New Roman" w:cs="Times New Roman"/>
          <w:color w:val="000000" w:themeColor="text1"/>
          <w:sz w:val="24"/>
          <w:szCs w:val="24"/>
        </w:rPr>
        <w:t>s</w:t>
      </w:r>
      <w:r w:rsidR="00344D70" w:rsidRPr="00321564">
        <w:rPr>
          <w:rFonts w:ascii="Times New Roman" w:hAnsi="Times New Roman" w:cs="Times New Roman"/>
          <w:color w:val="000000" w:themeColor="text1"/>
          <w:sz w:val="24"/>
          <w:szCs w:val="24"/>
        </w:rPr>
        <w:t xml:space="preserve"> of Rs. </w:t>
      </w:r>
      <w:r w:rsidR="00D322E7" w:rsidRPr="00321564">
        <w:rPr>
          <w:rFonts w:ascii="Times New Roman" w:hAnsi="Times New Roman" w:cs="Times New Roman"/>
          <w:color w:val="000000" w:themeColor="text1"/>
          <w:sz w:val="24"/>
          <w:szCs w:val="24"/>
        </w:rPr>
        <w:t>59706</w:t>
      </w:r>
      <w:r w:rsidR="00D538BB" w:rsidRPr="00321564">
        <w:rPr>
          <w:rFonts w:ascii="Times New Roman" w:hAnsi="Times New Roman" w:cs="Times New Roman"/>
          <w:color w:val="000000" w:themeColor="text1"/>
          <w:sz w:val="24"/>
          <w:szCs w:val="24"/>
        </w:rPr>
        <w:t>/ha</w:t>
      </w:r>
      <w:r w:rsidR="007B6E2A" w:rsidRPr="00321564">
        <w:rPr>
          <w:rFonts w:ascii="Times New Roman" w:hAnsi="Times New Roman" w:cs="Times New Roman"/>
          <w:color w:val="000000" w:themeColor="text1"/>
          <w:sz w:val="24"/>
          <w:szCs w:val="24"/>
        </w:rPr>
        <w:t xml:space="preserve">. The other parameters like </w:t>
      </w:r>
      <w:r w:rsidR="00BE795C" w:rsidRPr="00321564">
        <w:rPr>
          <w:rFonts w:ascii="Times New Roman" w:hAnsi="Times New Roman" w:cs="Times New Roman"/>
          <w:color w:val="000000" w:themeColor="text1"/>
          <w:sz w:val="24"/>
          <w:szCs w:val="24"/>
        </w:rPr>
        <w:t xml:space="preserve">technology gap, extension gap and technology index were 1111 kg/ha, </w:t>
      </w:r>
      <w:r w:rsidR="00D322E7" w:rsidRPr="00321564">
        <w:rPr>
          <w:rFonts w:ascii="Times New Roman" w:hAnsi="Times New Roman" w:cs="Times New Roman"/>
          <w:color w:val="000000" w:themeColor="text1"/>
          <w:sz w:val="24"/>
          <w:szCs w:val="24"/>
        </w:rPr>
        <w:t>519</w:t>
      </w:r>
      <w:r w:rsidR="00BE795C" w:rsidRPr="00321564">
        <w:rPr>
          <w:rFonts w:ascii="Times New Roman" w:hAnsi="Times New Roman" w:cs="Times New Roman"/>
          <w:color w:val="000000" w:themeColor="text1"/>
          <w:sz w:val="24"/>
          <w:szCs w:val="24"/>
        </w:rPr>
        <w:t xml:space="preserve"> kg/ha and 22.22%. The average Benefit</w:t>
      </w:r>
      <w:r w:rsidR="000730C0" w:rsidRPr="00321564">
        <w:rPr>
          <w:rFonts w:ascii="Times New Roman" w:hAnsi="Times New Roman" w:cs="Times New Roman"/>
          <w:color w:val="000000" w:themeColor="text1"/>
          <w:sz w:val="24"/>
          <w:szCs w:val="24"/>
        </w:rPr>
        <w:t>-</w:t>
      </w:r>
      <w:r w:rsidR="00BE795C" w:rsidRPr="00321564">
        <w:rPr>
          <w:rFonts w:ascii="Times New Roman" w:hAnsi="Times New Roman" w:cs="Times New Roman"/>
          <w:color w:val="000000" w:themeColor="text1"/>
          <w:sz w:val="24"/>
          <w:szCs w:val="24"/>
        </w:rPr>
        <w:t>Cost ratio was high in NTJ-</w:t>
      </w:r>
      <w:r w:rsidR="00913EE9" w:rsidRPr="00321564">
        <w:rPr>
          <w:rFonts w:ascii="Times New Roman" w:hAnsi="Times New Roman" w:cs="Times New Roman"/>
          <w:color w:val="000000" w:themeColor="text1"/>
          <w:sz w:val="24"/>
          <w:szCs w:val="24"/>
        </w:rPr>
        <w:t>5 (3.09) compared to local varieties/hybrids (</w:t>
      </w:r>
      <w:r w:rsidR="00D322E7" w:rsidRPr="00321564">
        <w:rPr>
          <w:rFonts w:ascii="Times New Roman" w:hAnsi="Times New Roman" w:cs="Times New Roman"/>
          <w:color w:val="000000" w:themeColor="text1"/>
          <w:sz w:val="24"/>
          <w:szCs w:val="24"/>
        </w:rPr>
        <w:t>2.43</w:t>
      </w:r>
      <w:r w:rsidR="00913EE9" w:rsidRPr="00321564">
        <w:rPr>
          <w:rFonts w:ascii="Times New Roman" w:hAnsi="Times New Roman" w:cs="Times New Roman"/>
          <w:color w:val="000000" w:themeColor="text1"/>
          <w:sz w:val="24"/>
          <w:szCs w:val="24"/>
        </w:rPr>
        <w:t>). On average</w:t>
      </w:r>
      <w:r w:rsidR="000730C0" w:rsidRPr="00321564">
        <w:rPr>
          <w:rFonts w:ascii="Times New Roman" w:hAnsi="Times New Roman" w:cs="Times New Roman"/>
          <w:color w:val="000000" w:themeColor="text1"/>
          <w:sz w:val="24"/>
          <w:szCs w:val="24"/>
        </w:rPr>
        <w:t>, a</w:t>
      </w:r>
      <w:r w:rsidR="00913EE9" w:rsidRPr="00321564">
        <w:rPr>
          <w:rFonts w:ascii="Times New Roman" w:hAnsi="Times New Roman" w:cs="Times New Roman"/>
          <w:color w:val="000000" w:themeColor="text1"/>
          <w:sz w:val="24"/>
          <w:szCs w:val="24"/>
        </w:rPr>
        <w:t xml:space="preserve"> 13.98% yield increase was observed in demo plots </w:t>
      </w:r>
      <w:r w:rsidR="00925604" w:rsidRPr="00321564">
        <w:rPr>
          <w:rFonts w:ascii="Times New Roman" w:hAnsi="Times New Roman" w:cs="Times New Roman"/>
          <w:color w:val="000000" w:themeColor="text1"/>
          <w:sz w:val="24"/>
          <w:szCs w:val="24"/>
        </w:rPr>
        <w:t>over the farmer’s</w:t>
      </w:r>
      <w:r w:rsidR="00913EE9" w:rsidRPr="00321564">
        <w:rPr>
          <w:rFonts w:ascii="Times New Roman" w:hAnsi="Times New Roman" w:cs="Times New Roman"/>
          <w:color w:val="000000" w:themeColor="text1"/>
          <w:sz w:val="24"/>
          <w:szCs w:val="24"/>
        </w:rPr>
        <w:t xml:space="preserve"> practice. The results clearly show</w:t>
      </w:r>
      <w:r w:rsidR="000730C0" w:rsidRPr="00321564">
        <w:rPr>
          <w:rFonts w:ascii="Times New Roman" w:hAnsi="Times New Roman" w:cs="Times New Roman"/>
          <w:color w:val="000000" w:themeColor="text1"/>
          <w:sz w:val="24"/>
          <w:szCs w:val="24"/>
        </w:rPr>
        <w:t>ed the positive impact of front</w:t>
      </w:r>
      <w:r w:rsidR="00913EE9" w:rsidRPr="00321564">
        <w:rPr>
          <w:rFonts w:ascii="Times New Roman" w:hAnsi="Times New Roman" w:cs="Times New Roman"/>
          <w:color w:val="000000" w:themeColor="text1"/>
          <w:sz w:val="24"/>
          <w:szCs w:val="24"/>
        </w:rPr>
        <w:t>line demonstrations over farmer</w:t>
      </w:r>
      <w:r w:rsidR="000730C0" w:rsidRPr="00321564">
        <w:rPr>
          <w:rFonts w:ascii="Times New Roman" w:hAnsi="Times New Roman" w:cs="Times New Roman"/>
          <w:color w:val="000000" w:themeColor="text1"/>
          <w:sz w:val="24"/>
          <w:szCs w:val="24"/>
        </w:rPr>
        <w:t>’</w:t>
      </w:r>
      <w:r w:rsidR="00913EE9" w:rsidRPr="00321564">
        <w:rPr>
          <w:rFonts w:ascii="Times New Roman" w:hAnsi="Times New Roman" w:cs="Times New Roman"/>
          <w:color w:val="000000" w:themeColor="text1"/>
          <w:sz w:val="24"/>
          <w:szCs w:val="24"/>
        </w:rPr>
        <w:t>s practice</w:t>
      </w:r>
      <w:r w:rsidR="000730C0" w:rsidRPr="00321564">
        <w:rPr>
          <w:rFonts w:ascii="Times New Roman" w:hAnsi="Times New Roman" w:cs="Times New Roman"/>
          <w:color w:val="000000" w:themeColor="text1"/>
          <w:sz w:val="24"/>
          <w:szCs w:val="24"/>
        </w:rPr>
        <w:t>s</w:t>
      </w:r>
      <w:r w:rsidR="00913EE9" w:rsidRPr="00321564">
        <w:rPr>
          <w:rFonts w:ascii="Times New Roman" w:hAnsi="Times New Roman" w:cs="Times New Roman"/>
          <w:color w:val="000000" w:themeColor="text1"/>
          <w:sz w:val="24"/>
          <w:szCs w:val="24"/>
        </w:rPr>
        <w:t xml:space="preserve"> towards increasing the productivity of white jowar variety</w:t>
      </w:r>
      <w:r w:rsidR="00925604" w:rsidRPr="00321564">
        <w:rPr>
          <w:rFonts w:ascii="Times New Roman" w:hAnsi="Times New Roman" w:cs="Times New Roman"/>
          <w:color w:val="000000" w:themeColor="text1"/>
          <w:sz w:val="24"/>
          <w:szCs w:val="24"/>
        </w:rPr>
        <w:t>,</w:t>
      </w:r>
      <w:r w:rsidR="00913EE9" w:rsidRPr="00321564">
        <w:rPr>
          <w:rFonts w:ascii="Times New Roman" w:hAnsi="Times New Roman" w:cs="Times New Roman"/>
          <w:color w:val="000000" w:themeColor="text1"/>
          <w:sz w:val="24"/>
          <w:szCs w:val="24"/>
        </w:rPr>
        <w:t xml:space="preserve"> NTJ-5 in </w:t>
      </w:r>
      <w:r w:rsidR="00FE0330" w:rsidRPr="00321564">
        <w:rPr>
          <w:rFonts w:ascii="Times New Roman" w:hAnsi="Times New Roman" w:cs="Times New Roman"/>
          <w:color w:val="000000" w:themeColor="text1"/>
          <w:sz w:val="24"/>
          <w:szCs w:val="24"/>
        </w:rPr>
        <w:t xml:space="preserve">the </w:t>
      </w:r>
      <w:r w:rsidR="00913EE9" w:rsidRPr="00321564">
        <w:rPr>
          <w:rFonts w:ascii="Times New Roman" w:hAnsi="Times New Roman" w:cs="Times New Roman"/>
          <w:color w:val="000000" w:themeColor="text1"/>
          <w:sz w:val="24"/>
          <w:szCs w:val="24"/>
        </w:rPr>
        <w:t xml:space="preserve">SPSR Nellore district of Andhra Pradesh. </w:t>
      </w:r>
    </w:p>
    <w:p w:rsidR="00EA0E24" w:rsidRPr="00EA0E24" w:rsidRDefault="005A284D" w:rsidP="00637801">
      <w:pPr>
        <w:spacing w:before="240" w:line="360" w:lineRule="auto"/>
        <w:jc w:val="both"/>
        <w:rPr>
          <w:rFonts w:ascii="Times New Roman" w:hAnsi="Times New Roman" w:cs="Times New Roman"/>
          <w:b/>
          <w:bCs/>
          <w:color w:val="000000" w:themeColor="text1"/>
          <w:sz w:val="24"/>
          <w:szCs w:val="24"/>
        </w:rPr>
      </w:pPr>
      <w:r w:rsidRPr="00EA0E24">
        <w:rPr>
          <w:rFonts w:ascii="Times New Roman" w:hAnsi="Times New Roman" w:cs="Times New Roman"/>
          <w:b/>
          <w:bCs/>
          <w:color w:val="000000" w:themeColor="text1"/>
          <w:sz w:val="24"/>
          <w:szCs w:val="24"/>
        </w:rPr>
        <w:t xml:space="preserve">Keywords: </w:t>
      </w:r>
      <w:r w:rsidR="00EA0E24" w:rsidRPr="00EA0E24">
        <w:rPr>
          <w:rFonts w:ascii="Times New Roman" w:hAnsi="Times New Roman" w:cs="Times New Roman"/>
          <w:sz w:val="24"/>
          <w:szCs w:val="24"/>
        </w:rPr>
        <w:t>Benefit Cost Ratio, Frontline Demonstrations, Nandyal Tella Jonna, Net Returns, Sorghum</w:t>
      </w:r>
      <w:r w:rsidR="00EA0E24" w:rsidRPr="00EA0E24">
        <w:rPr>
          <w:rFonts w:ascii="Times New Roman" w:hAnsi="Times New Roman" w:cs="Times New Roman"/>
          <w:b/>
          <w:bCs/>
          <w:color w:val="000000" w:themeColor="text1"/>
          <w:sz w:val="24"/>
          <w:szCs w:val="24"/>
        </w:rPr>
        <w:t xml:space="preserve"> </w:t>
      </w:r>
    </w:p>
    <w:p w:rsidR="005A284D" w:rsidRPr="00321564" w:rsidRDefault="00D30AF4" w:rsidP="00637801">
      <w:pPr>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 xml:space="preserve">1. </w:t>
      </w:r>
      <w:r w:rsidR="00637801" w:rsidRPr="00321564">
        <w:rPr>
          <w:rFonts w:ascii="Times New Roman" w:hAnsi="Times New Roman" w:cs="Times New Roman"/>
          <w:b/>
          <w:bCs/>
          <w:color w:val="000000" w:themeColor="text1"/>
          <w:sz w:val="24"/>
          <w:szCs w:val="24"/>
        </w:rPr>
        <w:t>INTRODUCTION</w:t>
      </w:r>
    </w:p>
    <w:p w:rsidR="00D30AF4" w:rsidRPr="00321564" w:rsidRDefault="00F81A05" w:rsidP="00D538BB">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 xml:space="preserve">Millets are a group of cereal grains with ancient origins, primarily domesticated in the dry tropical regions of Asia and Africa. Over time, their cultivation spread globally. As members of the grass family </w:t>
      </w:r>
      <w:r w:rsidRPr="00321564">
        <w:rPr>
          <w:rStyle w:val="Emphasis"/>
          <w:rFonts w:ascii="Times New Roman" w:hAnsi="Times New Roman" w:cs="Times New Roman"/>
          <w:color w:val="000000" w:themeColor="text1"/>
          <w:sz w:val="24"/>
          <w:szCs w:val="24"/>
        </w:rPr>
        <w:t>Poaceae</w:t>
      </w:r>
      <w:r w:rsidRPr="00321564">
        <w:rPr>
          <w:rFonts w:ascii="Times New Roman" w:hAnsi="Times New Roman" w:cs="Times New Roman"/>
          <w:color w:val="000000" w:themeColor="text1"/>
          <w:sz w:val="24"/>
          <w:szCs w:val="24"/>
        </w:rPr>
        <w:t xml:space="preserve">, these crops have played a vital role in sustaining food systems in regions with poor soil fertility and erratic rainfall. Their ability to grow under minimal resource input makes them a dependable option in areas prone to climatic stress (Hassan </w:t>
      </w:r>
      <w:r w:rsidRPr="00321564">
        <w:rPr>
          <w:rFonts w:ascii="Times New Roman" w:hAnsi="Times New Roman" w:cs="Times New Roman"/>
          <w:i/>
          <w:iCs/>
          <w:color w:val="000000" w:themeColor="text1"/>
          <w:sz w:val="24"/>
          <w:szCs w:val="24"/>
        </w:rPr>
        <w:t>et al.,</w:t>
      </w:r>
      <w:r w:rsidR="00925604" w:rsidRPr="00321564">
        <w:rPr>
          <w:rFonts w:ascii="Times New Roman" w:hAnsi="Times New Roman" w:cs="Times New Roman"/>
          <w:color w:val="000000" w:themeColor="text1"/>
          <w:sz w:val="24"/>
          <w:szCs w:val="24"/>
        </w:rPr>
        <w:t xml:space="preserve"> 2021; </w:t>
      </w:r>
      <w:r w:rsidRPr="00321564">
        <w:rPr>
          <w:rFonts w:ascii="Times New Roman" w:hAnsi="Times New Roman" w:cs="Times New Roman"/>
          <w:color w:val="000000" w:themeColor="text1"/>
          <w:sz w:val="24"/>
          <w:szCs w:val="24"/>
        </w:rPr>
        <w:t xml:space="preserve">Sharma and Ortik, 2000). Millets are categorized into major types, such as sorghum and pearl millet, and minor types, including foxtail, </w:t>
      </w:r>
      <w:r w:rsidR="00D538BB" w:rsidRPr="00321564">
        <w:rPr>
          <w:rFonts w:ascii="Times New Roman" w:hAnsi="Times New Roman" w:cs="Times New Roman"/>
          <w:color w:val="000000" w:themeColor="text1"/>
          <w:sz w:val="24"/>
          <w:szCs w:val="24"/>
        </w:rPr>
        <w:t xml:space="preserve">finger, little, kodo, barnyard </w:t>
      </w:r>
      <w:r w:rsidRPr="00321564">
        <w:rPr>
          <w:rFonts w:ascii="Times New Roman" w:hAnsi="Times New Roman" w:cs="Times New Roman"/>
          <w:color w:val="000000" w:themeColor="text1"/>
          <w:sz w:val="24"/>
          <w:szCs w:val="24"/>
        </w:rPr>
        <w:t>and proso millets. Additionally, crops like buckwheat and amaranth, often referred to as pseudo-millets, contribute to the diet and livestock feed in various parts of the world (</w:t>
      </w:r>
      <w:r w:rsidR="00B340C5" w:rsidRPr="00321564">
        <w:rPr>
          <w:rFonts w:ascii="Times New Roman" w:hAnsi="Times New Roman" w:cs="Times New Roman"/>
          <w:color w:val="000000" w:themeColor="text1"/>
          <w:sz w:val="24"/>
          <w:szCs w:val="24"/>
        </w:rPr>
        <w:t>Sa</w:t>
      </w:r>
      <w:r w:rsidRPr="00321564">
        <w:rPr>
          <w:rFonts w:ascii="Times New Roman" w:hAnsi="Times New Roman" w:cs="Times New Roman"/>
          <w:color w:val="000000" w:themeColor="text1"/>
          <w:sz w:val="24"/>
          <w:szCs w:val="24"/>
        </w:rPr>
        <w:t xml:space="preserve">leh </w:t>
      </w:r>
      <w:r w:rsidRPr="00321564">
        <w:rPr>
          <w:rFonts w:ascii="Times New Roman" w:hAnsi="Times New Roman" w:cs="Times New Roman"/>
          <w:i/>
          <w:iCs/>
          <w:color w:val="000000" w:themeColor="text1"/>
          <w:sz w:val="24"/>
          <w:szCs w:val="24"/>
        </w:rPr>
        <w:t>et al</w:t>
      </w:r>
      <w:r w:rsidR="00925604" w:rsidRPr="00321564">
        <w:rPr>
          <w:rFonts w:ascii="Times New Roman" w:hAnsi="Times New Roman" w:cs="Times New Roman"/>
          <w:color w:val="000000" w:themeColor="text1"/>
          <w:sz w:val="24"/>
          <w:szCs w:val="24"/>
        </w:rPr>
        <w:t>., 2013;</w:t>
      </w:r>
      <w:r w:rsidRPr="00321564">
        <w:rPr>
          <w:rFonts w:ascii="Times New Roman" w:hAnsi="Times New Roman" w:cs="Times New Roman"/>
          <w:color w:val="000000" w:themeColor="text1"/>
          <w:sz w:val="24"/>
          <w:szCs w:val="24"/>
        </w:rPr>
        <w:t xml:space="preserve"> Shahidi and Chandrasekara, 2013</w:t>
      </w:r>
      <w:r w:rsidR="00D538BB"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w:t>
      </w:r>
      <w:r w:rsidR="00D538BB" w:rsidRPr="00321564">
        <w:rPr>
          <w:rFonts w:ascii="Times New Roman" w:hAnsi="Times New Roman" w:cs="Times New Roman"/>
          <w:color w:val="000000" w:themeColor="text1"/>
          <w:sz w:val="24"/>
          <w:szCs w:val="24"/>
        </w:rPr>
        <w:t xml:space="preserve"> </w:t>
      </w:r>
    </w:p>
    <w:p w:rsidR="00D30AF4" w:rsidRPr="00321564" w:rsidRDefault="00D538BB" w:rsidP="00D538BB">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 xml:space="preserve">Among these, </w:t>
      </w:r>
      <w:r w:rsidRPr="00321564">
        <w:rPr>
          <w:rStyle w:val="Strong"/>
          <w:rFonts w:ascii="Times New Roman" w:hAnsi="Times New Roman" w:cs="Times New Roman"/>
          <w:b w:val="0"/>
          <w:bCs w:val="0"/>
          <w:color w:val="000000" w:themeColor="text1"/>
          <w:sz w:val="24"/>
          <w:szCs w:val="24"/>
        </w:rPr>
        <w:t>sorghum (</w:t>
      </w:r>
      <w:r w:rsidRPr="00321564">
        <w:rPr>
          <w:rStyle w:val="Emphasis"/>
          <w:rFonts w:ascii="Times New Roman" w:hAnsi="Times New Roman" w:cs="Times New Roman"/>
          <w:color w:val="000000" w:themeColor="text1"/>
          <w:sz w:val="24"/>
          <w:szCs w:val="24"/>
        </w:rPr>
        <w:t>Sorghum bicolor</w:t>
      </w:r>
      <w:r w:rsidRPr="00321564">
        <w:rPr>
          <w:rStyle w:val="Strong"/>
          <w:rFonts w:ascii="Times New Roman" w:hAnsi="Times New Roman" w:cs="Times New Roman"/>
          <w:b w:val="0"/>
          <w:bCs w:val="0"/>
          <w:color w:val="000000" w:themeColor="text1"/>
          <w:sz w:val="24"/>
          <w:szCs w:val="24"/>
        </w:rPr>
        <w:t xml:space="preserve"> L. Moench)</w:t>
      </w:r>
      <w:r w:rsidRPr="00321564">
        <w:rPr>
          <w:rFonts w:ascii="Times New Roman" w:hAnsi="Times New Roman" w:cs="Times New Roman"/>
          <w:color w:val="000000" w:themeColor="text1"/>
          <w:sz w:val="24"/>
          <w:szCs w:val="24"/>
        </w:rPr>
        <w:t xml:space="preserve"> stands out as one of the most important</w:t>
      </w:r>
      <w:r w:rsidR="00487D2B">
        <w:rPr>
          <w:rFonts w:ascii="Times New Roman" w:hAnsi="Times New Roman" w:cs="Times New Roman"/>
          <w:color w:val="000000" w:themeColor="text1"/>
          <w:sz w:val="24"/>
          <w:szCs w:val="24"/>
        </w:rPr>
        <w:t xml:space="preserve"> and widely cultivated millets</w:t>
      </w:r>
      <w:r w:rsidR="00FE0330" w:rsidRPr="00321564">
        <w:rPr>
          <w:rFonts w:ascii="Times New Roman" w:hAnsi="Times New Roman" w:cs="Times New Roman"/>
          <w:color w:val="000000" w:themeColor="text1"/>
          <w:sz w:val="24"/>
          <w:szCs w:val="24"/>
        </w:rPr>
        <w:t>. In India, it plays a vita</w:t>
      </w:r>
      <w:r w:rsidR="000028E7" w:rsidRPr="00321564">
        <w:rPr>
          <w:rFonts w:ascii="Times New Roman" w:hAnsi="Times New Roman" w:cs="Times New Roman"/>
          <w:color w:val="000000" w:themeColor="text1"/>
          <w:sz w:val="24"/>
          <w:szCs w:val="24"/>
        </w:rPr>
        <w:t>l role as a staple food, fodder</w:t>
      </w:r>
      <w:r w:rsidR="00FE0330" w:rsidRPr="00321564">
        <w:rPr>
          <w:rFonts w:ascii="Times New Roman" w:hAnsi="Times New Roman" w:cs="Times New Roman"/>
          <w:color w:val="000000" w:themeColor="text1"/>
          <w:sz w:val="24"/>
          <w:szCs w:val="24"/>
        </w:rPr>
        <w:t xml:space="preserve"> and industrial crop, espec</w:t>
      </w:r>
      <w:r w:rsidR="000028E7" w:rsidRPr="00321564">
        <w:rPr>
          <w:rFonts w:ascii="Times New Roman" w:hAnsi="Times New Roman" w:cs="Times New Roman"/>
          <w:color w:val="000000" w:themeColor="text1"/>
          <w:sz w:val="24"/>
          <w:szCs w:val="24"/>
        </w:rPr>
        <w:t xml:space="preserve">ially for resource-poor, small </w:t>
      </w:r>
      <w:r w:rsidR="00FE0330" w:rsidRPr="00321564">
        <w:rPr>
          <w:rFonts w:ascii="Times New Roman" w:hAnsi="Times New Roman" w:cs="Times New Roman"/>
          <w:color w:val="000000" w:themeColor="text1"/>
          <w:sz w:val="24"/>
          <w:szCs w:val="24"/>
        </w:rPr>
        <w:t xml:space="preserve">and marginal farmers in semi-arid and arid regions. Cultivated in both </w:t>
      </w:r>
      <w:r w:rsidR="00FE0330" w:rsidRPr="00321564">
        <w:rPr>
          <w:rStyle w:val="Emphasis"/>
          <w:rFonts w:ascii="Times New Roman" w:hAnsi="Times New Roman" w:cs="Times New Roman"/>
          <w:color w:val="000000" w:themeColor="text1"/>
          <w:sz w:val="24"/>
          <w:szCs w:val="24"/>
        </w:rPr>
        <w:t>kharif</w:t>
      </w:r>
      <w:r w:rsidR="00FE0330" w:rsidRPr="00321564">
        <w:rPr>
          <w:rFonts w:ascii="Times New Roman" w:hAnsi="Times New Roman" w:cs="Times New Roman"/>
          <w:color w:val="000000" w:themeColor="text1"/>
          <w:sz w:val="24"/>
          <w:szCs w:val="24"/>
        </w:rPr>
        <w:t xml:space="preserve"> and </w:t>
      </w:r>
      <w:r w:rsidR="00FE0330" w:rsidRPr="00321564">
        <w:rPr>
          <w:rStyle w:val="Emphasis"/>
          <w:rFonts w:ascii="Times New Roman" w:hAnsi="Times New Roman" w:cs="Times New Roman"/>
          <w:color w:val="000000" w:themeColor="text1"/>
          <w:sz w:val="24"/>
          <w:szCs w:val="24"/>
        </w:rPr>
        <w:t>rabi</w:t>
      </w:r>
      <w:r w:rsidR="00FE0330" w:rsidRPr="00321564">
        <w:rPr>
          <w:rFonts w:ascii="Times New Roman" w:hAnsi="Times New Roman" w:cs="Times New Roman"/>
          <w:color w:val="000000" w:themeColor="text1"/>
          <w:sz w:val="24"/>
          <w:szCs w:val="24"/>
        </w:rPr>
        <w:t xml:space="preserve"> seasons, sorghum is well-adapted to harsh agro-climatic conditions due to its deep r</w:t>
      </w:r>
      <w:r w:rsidR="000028E7" w:rsidRPr="00321564">
        <w:rPr>
          <w:rFonts w:ascii="Times New Roman" w:hAnsi="Times New Roman" w:cs="Times New Roman"/>
          <w:color w:val="000000" w:themeColor="text1"/>
          <w:sz w:val="24"/>
          <w:szCs w:val="24"/>
        </w:rPr>
        <w:t>oot system, efficient water use</w:t>
      </w:r>
      <w:r w:rsidR="00FE0330" w:rsidRPr="00321564">
        <w:rPr>
          <w:rFonts w:ascii="Times New Roman" w:hAnsi="Times New Roman" w:cs="Times New Roman"/>
          <w:color w:val="000000" w:themeColor="text1"/>
          <w:sz w:val="24"/>
          <w:szCs w:val="24"/>
        </w:rPr>
        <w:t xml:space="preserve"> and </w:t>
      </w:r>
      <w:r w:rsidR="00FE0330" w:rsidRPr="00321564">
        <w:rPr>
          <w:rFonts w:ascii="Times New Roman" w:hAnsi="Times New Roman" w:cs="Times New Roman"/>
          <w:color w:val="000000" w:themeColor="text1"/>
          <w:sz w:val="24"/>
          <w:szCs w:val="24"/>
        </w:rPr>
        <w:lastRenderedPageBreak/>
        <w:t xml:space="preserve">high tolerance to drought and heat stress (Assefa </w:t>
      </w:r>
      <w:r w:rsidR="00FE0330" w:rsidRPr="00321564">
        <w:rPr>
          <w:rFonts w:ascii="Times New Roman" w:hAnsi="Times New Roman" w:cs="Times New Roman"/>
          <w:i/>
          <w:iCs/>
          <w:color w:val="000000" w:themeColor="text1"/>
          <w:sz w:val="24"/>
          <w:szCs w:val="24"/>
        </w:rPr>
        <w:t>et al</w:t>
      </w:r>
      <w:r w:rsidR="00FE0330" w:rsidRPr="00321564">
        <w:rPr>
          <w:rFonts w:ascii="Times New Roman" w:hAnsi="Times New Roman" w:cs="Times New Roman"/>
          <w:color w:val="000000" w:themeColor="text1"/>
          <w:sz w:val="24"/>
          <w:szCs w:val="24"/>
        </w:rPr>
        <w:t xml:space="preserve">., 2010). </w:t>
      </w:r>
      <w:r w:rsidR="0009446A" w:rsidRPr="00321564">
        <w:rPr>
          <w:rFonts w:ascii="Times New Roman" w:eastAsia="Times New Roman" w:hAnsi="Times New Roman" w:cs="Times New Roman"/>
          <w:color w:val="000000" w:themeColor="text1"/>
          <w:sz w:val="24"/>
          <w:szCs w:val="24"/>
        </w:rPr>
        <w:t>These attributes make grain sorghum especially suitable for rainfed farming and deficit irrigation systems. Beyond its agronomic value, sorghum, along with other millets, plays a significant role in ensuring nutritional security. Despite these advantages, the cultivation area of sorghum and other millets declined over the decades, primarily due to changing food habits, government-subsidized rice distribution schemes and the expansion of irrigated agriculture. However, climate change, increasing input costs and a rising awareness of healthy diets have sparked a renewed interest in nutri-cereals such as sorghum. There is now a growing recognition of their potential to contribute to sustainable food systems by fulfilling the four Fs - food, fodder, feed and fuel especially</w:t>
      </w:r>
      <w:r w:rsidR="000028E7" w:rsidRPr="00321564">
        <w:rPr>
          <w:rFonts w:ascii="Times New Roman" w:eastAsia="Times New Roman" w:hAnsi="Times New Roman" w:cs="Times New Roman"/>
          <w:color w:val="000000" w:themeColor="text1"/>
          <w:sz w:val="24"/>
          <w:szCs w:val="24"/>
        </w:rPr>
        <w:t>,</w:t>
      </w:r>
      <w:r w:rsidR="0009446A" w:rsidRPr="00321564">
        <w:rPr>
          <w:rFonts w:ascii="Times New Roman" w:eastAsia="Times New Roman" w:hAnsi="Times New Roman" w:cs="Times New Roman"/>
          <w:color w:val="000000" w:themeColor="text1"/>
          <w:sz w:val="24"/>
          <w:szCs w:val="24"/>
        </w:rPr>
        <w:t xml:space="preserve"> in rainfed ecosystems. In the context of varietal development and dissemination, the adoption of improved cultivars remains suboptimal in many regions due to factors such as continued use of local landraces,</w:t>
      </w:r>
      <w:r w:rsidR="007724A3" w:rsidRPr="00321564">
        <w:rPr>
          <w:rFonts w:ascii="Times New Roman" w:eastAsia="Times New Roman" w:hAnsi="Times New Roman" w:cs="Times New Roman"/>
          <w:color w:val="000000" w:themeColor="text1"/>
          <w:sz w:val="24"/>
          <w:szCs w:val="24"/>
        </w:rPr>
        <w:t xml:space="preserve"> lack of access to quality seed</w:t>
      </w:r>
      <w:r w:rsidR="0009446A" w:rsidRPr="00321564">
        <w:rPr>
          <w:rFonts w:ascii="Times New Roman" w:eastAsia="Times New Roman" w:hAnsi="Times New Roman" w:cs="Times New Roman"/>
          <w:color w:val="000000" w:themeColor="text1"/>
          <w:sz w:val="24"/>
          <w:szCs w:val="24"/>
        </w:rPr>
        <w:t xml:space="preserve"> and limited exposure to improved agronomic practices. This gap between research and on-farm application underscores the need for effective extension strategies. </w:t>
      </w:r>
    </w:p>
    <w:p w:rsidR="0009446A" w:rsidRPr="00321564" w:rsidRDefault="00B340C5" w:rsidP="00D538BB">
      <w:pPr>
        <w:spacing w:before="100" w:beforeAutospacing="1" w:after="100" w:afterAutospacing="1" w:line="360" w:lineRule="auto"/>
        <w:ind w:firstLine="720"/>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Frontline Demonstrations (FLDs) are an extension strategy initiated by the Indian Council of Agricultural Research (ICAR) to demonstrate the production potential of newly released crop varieties and associated technologies under real farming conditions. These are organized through Krishi Vigyan Kendra’s (KVKs) to bridge the gap between research stations and farmer fields, thereby validating and popularizing improved agricultural practices among rural communities.</w:t>
      </w:r>
      <w:r w:rsidRPr="00321564">
        <w:rPr>
          <w:rFonts w:ascii="Times New Roman" w:eastAsia="Times New Roman" w:hAnsi="Times New Roman" w:cs="Times New Roman"/>
          <w:color w:val="000000" w:themeColor="text1"/>
          <w:sz w:val="24"/>
          <w:szCs w:val="24"/>
        </w:rPr>
        <w:t xml:space="preserve"> </w:t>
      </w:r>
      <w:r w:rsidR="0009446A" w:rsidRPr="00321564">
        <w:rPr>
          <w:rFonts w:ascii="Times New Roman" w:eastAsia="Times New Roman" w:hAnsi="Times New Roman" w:cs="Times New Roman"/>
          <w:color w:val="000000" w:themeColor="text1"/>
          <w:sz w:val="24"/>
          <w:szCs w:val="24"/>
        </w:rPr>
        <w:t>To address this gap, the white jowar variety</w:t>
      </w:r>
      <w:r w:rsidR="000028E7" w:rsidRPr="00321564">
        <w:rPr>
          <w:rFonts w:ascii="Times New Roman" w:eastAsia="Times New Roman" w:hAnsi="Times New Roman" w:cs="Times New Roman"/>
          <w:color w:val="000000" w:themeColor="text1"/>
          <w:sz w:val="24"/>
          <w:szCs w:val="24"/>
        </w:rPr>
        <w:t>,</w:t>
      </w:r>
      <w:r w:rsidR="0009446A" w:rsidRPr="00321564">
        <w:rPr>
          <w:rFonts w:ascii="Times New Roman" w:eastAsia="Times New Roman" w:hAnsi="Times New Roman" w:cs="Times New Roman"/>
          <w:color w:val="000000" w:themeColor="text1"/>
          <w:sz w:val="24"/>
          <w:szCs w:val="24"/>
        </w:rPr>
        <w:t xml:space="preserve"> Nandyal Tella Jonna-5 (NTJ-5), released by Acharya N.G. Ranga Agricultural University (ANGRAU) in 2018, was selected for demonstration in SPSR Nellore district, Andhra Pradesh. NTJ-5 </w:t>
      </w:r>
      <w:r w:rsidR="000A4B36" w:rsidRPr="00321564">
        <w:rPr>
          <w:rFonts w:ascii="Times New Roman" w:hAnsi="Times New Roman" w:cs="Times New Roman"/>
          <w:color w:val="000000" w:themeColor="text1"/>
          <w:sz w:val="24"/>
          <w:szCs w:val="24"/>
        </w:rPr>
        <w:t xml:space="preserve">is a </w:t>
      </w:r>
      <w:r w:rsidR="000A4B36" w:rsidRPr="00321564">
        <w:rPr>
          <w:rFonts w:ascii="Times New Roman" w:eastAsia="Times New Roman" w:hAnsi="Times New Roman" w:cs="Times New Roman"/>
          <w:color w:val="000000" w:themeColor="text1"/>
          <w:sz w:val="24"/>
          <w:szCs w:val="24"/>
        </w:rPr>
        <w:t>short-statured</w:t>
      </w:r>
      <w:r w:rsidR="000A4B36" w:rsidRPr="00321564">
        <w:rPr>
          <w:rFonts w:ascii="Times New Roman" w:hAnsi="Times New Roman" w:cs="Times New Roman"/>
          <w:color w:val="000000" w:themeColor="text1"/>
          <w:sz w:val="24"/>
          <w:szCs w:val="24"/>
        </w:rPr>
        <w:t xml:space="preserve">, non-lodging, dual-purpose sorghum variety with medium bold grains, moderately tolerant to shoot fly, stem borer and blight. It has a crop duration of approximately 95-105 days with a yield potential of 4500-5000 kg/ha. </w:t>
      </w:r>
      <w:r w:rsidR="0009446A" w:rsidRPr="00321564">
        <w:rPr>
          <w:rFonts w:ascii="Times New Roman" w:eastAsia="Times New Roman" w:hAnsi="Times New Roman" w:cs="Times New Roman"/>
          <w:color w:val="000000" w:themeColor="text1"/>
          <w:sz w:val="24"/>
          <w:szCs w:val="24"/>
        </w:rPr>
        <w:t xml:space="preserve">This study presents the outcomes of FLDs conducted over three </w:t>
      </w:r>
      <w:r w:rsidR="0009446A" w:rsidRPr="00321564">
        <w:rPr>
          <w:rFonts w:ascii="Times New Roman" w:eastAsia="Times New Roman" w:hAnsi="Times New Roman" w:cs="Times New Roman"/>
          <w:i/>
          <w:iCs/>
          <w:color w:val="000000" w:themeColor="text1"/>
          <w:sz w:val="24"/>
          <w:szCs w:val="24"/>
        </w:rPr>
        <w:t>rabi</w:t>
      </w:r>
      <w:r w:rsidR="0009446A" w:rsidRPr="00321564">
        <w:rPr>
          <w:rFonts w:ascii="Times New Roman" w:eastAsia="Times New Roman" w:hAnsi="Times New Roman" w:cs="Times New Roman"/>
          <w:color w:val="000000" w:themeColor="text1"/>
          <w:sz w:val="24"/>
          <w:szCs w:val="24"/>
        </w:rPr>
        <w:t xml:space="preserve"> seasons to evaluate</w:t>
      </w:r>
      <w:r w:rsidR="007724A3" w:rsidRPr="00321564">
        <w:rPr>
          <w:rFonts w:ascii="Times New Roman" w:eastAsia="Times New Roman" w:hAnsi="Times New Roman" w:cs="Times New Roman"/>
          <w:color w:val="000000" w:themeColor="text1"/>
          <w:sz w:val="24"/>
          <w:szCs w:val="24"/>
        </w:rPr>
        <w:t xml:space="preserve"> the performance, profitability</w:t>
      </w:r>
      <w:r w:rsidR="0009446A" w:rsidRPr="00321564">
        <w:rPr>
          <w:rFonts w:ascii="Times New Roman" w:eastAsia="Times New Roman" w:hAnsi="Times New Roman" w:cs="Times New Roman"/>
          <w:color w:val="000000" w:themeColor="text1"/>
          <w:sz w:val="24"/>
          <w:szCs w:val="24"/>
        </w:rPr>
        <w:t xml:space="preserve"> and adoption potential of NTJ-5 in comparison to </w:t>
      </w:r>
      <w:r w:rsidR="000A4B36" w:rsidRPr="00321564">
        <w:rPr>
          <w:rFonts w:ascii="Times New Roman" w:eastAsia="Times New Roman" w:hAnsi="Times New Roman" w:cs="Times New Roman"/>
          <w:color w:val="000000" w:themeColor="text1"/>
          <w:sz w:val="24"/>
          <w:szCs w:val="24"/>
        </w:rPr>
        <w:t>local varieties/hybrids</w:t>
      </w:r>
      <w:r w:rsidR="0009446A" w:rsidRPr="00321564">
        <w:rPr>
          <w:rFonts w:ascii="Times New Roman" w:eastAsia="Times New Roman" w:hAnsi="Times New Roman" w:cs="Times New Roman"/>
          <w:color w:val="000000" w:themeColor="text1"/>
          <w:sz w:val="24"/>
          <w:szCs w:val="24"/>
        </w:rPr>
        <w:t>, aiming to enhance productivity and livelihood security of sorghum-growing farmers in the region.</w:t>
      </w:r>
    </w:p>
    <w:p w:rsidR="00A14CA3" w:rsidRPr="00321564" w:rsidRDefault="00D30AF4" w:rsidP="00A14CA3">
      <w:pPr>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 METHODOLOGY:</w:t>
      </w:r>
    </w:p>
    <w:p w:rsidR="00667E18" w:rsidRPr="00321564" w:rsidRDefault="00667E18" w:rsidP="00BD62B6">
      <w:pPr>
        <w:spacing w:before="240" w:line="360" w:lineRule="auto"/>
        <w:ind w:firstLine="720"/>
        <w:jc w:val="both"/>
        <w:rPr>
          <w:rFonts w:ascii="Times New Roman" w:eastAsiaTheme="minorHAnsi" w:hAnsi="Times New Roman" w:cs="Times New Roman"/>
          <w:b/>
          <w:bCs/>
          <w:color w:val="000000" w:themeColor="text1"/>
          <w:sz w:val="24"/>
          <w:szCs w:val="24"/>
          <w:lang w:eastAsia="en-US"/>
        </w:rPr>
      </w:pPr>
      <w:r w:rsidRPr="00321564">
        <w:rPr>
          <w:rFonts w:ascii="Times New Roman" w:hAnsi="Times New Roman" w:cs="Times New Roman"/>
          <w:color w:val="000000" w:themeColor="text1"/>
          <w:sz w:val="24"/>
          <w:szCs w:val="24"/>
        </w:rPr>
        <w:t>Front Line Demonstrations (FLDs) were conducted in four blocks (Anan</w:t>
      </w:r>
      <w:r w:rsidR="00527907" w:rsidRPr="00321564">
        <w:rPr>
          <w:rFonts w:ascii="Times New Roman" w:hAnsi="Times New Roman" w:cs="Times New Roman"/>
          <w:color w:val="000000" w:themeColor="text1"/>
          <w:sz w:val="24"/>
          <w:szCs w:val="24"/>
        </w:rPr>
        <w:t>thasagaram, Marripadu, Chejerla</w:t>
      </w:r>
      <w:r w:rsidRPr="00321564">
        <w:rPr>
          <w:rFonts w:ascii="Times New Roman" w:hAnsi="Times New Roman" w:cs="Times New Roman"/>
          <w:color w:val="000000" w:themeColor="text1"/>
          <w:sz w:val="24"/>
          <w:szCs w:val="24"/>
        </w:rPr>
        <w:t xml:space="preserve"> and Kaluvoya) of SPSR Nellore district, Andhra Pradesh, to popularize the high-yielding white jowar variety, NTJ-5 (Nandyal Tella Jonna). These demonstrations were conducted at 15 locations during the </w:t>
      </w:r>
      <w:r w:rsidR="00527907" w:rsidRPr="00321564">
        <w:rPr>
          <w:rFonts w:ascii="Times New Roman" w:hAnsi="Times New Roman" w:cs="Times New Roman"/>
          <w:i/>
          <w:iCs/>
          <w:color w:val="000000" w:themeColor="text1"/>
          <w:sz w:val="24"/>
          <w:szCs w:val="24"/>
        </w:rPr>
        <w:t>rabi</w:t>
      </w:r>
      <w:r w:rsidR="00527907" w:rsidRPr="00321564">
        <w:rPr>
          <w:rFonts w:ascii="Times New Roman" w:hAnsi="Times New Roman" w:cs="Times New Roman"/>
          <w:color w:val="000000" w:themeColor="text1"/>
          <w:sz w:val="24"/>
          <w:szCs w:val="24"/>
        </w:rPr>
        <w:t xml:space="preserve"> </w:t>
      </w:r>
      <w:r w:rsidRPr="00321564">
        <w:rPr>
          <w:rFonts w:ascii="Times New Roman" w:hAnsi="Times New Roman" w:cs="Times New Roman"/>
          <w:color w:val="000000" w:themeColor="text1"/>
          <w:sz w:val="24"/>
          <w:szCs w:val="24"/>
        </w:rPr>
        <w:t>season of three cons</w:t>
      </w:r>
      <w:r w:rsidR="005C74A5" w:rsidRPr="00321564">
        <w:rPr>
          <w:rFonts w:ascii="Times New Roman" w:hAnsi="Times New Roman" w:cs="Times New Roman"/>
          <w:color w:val="000000" w:themeColor="text1"/>
          <w:sz w:val="24"/>
          <w:szCs w:val="24"/>
        </w:rPr>
        <w:t>ecutive years (2022-23, 2023-24</w:t>
      </w:r>
      <w:r w:rsidRPr="00321564">
        <w:rPr>
          <w:rFonts w:ascii="Times New Roman" w:hAnsi="Times New Roman" w:cs="Times New Roman"/>
          <w:color w:val="000000" w:themeColor="text1"/>
          <w:sz w:val="24"/>
          <w:szCs w:val="24"/>
        </w:rPr>
        <w:t xml:space="preserve"> and 2024-25), with each FLD plot covering an area of 0.4 ha. The crop was cultivated under both irrigated and rainfed conditions, across soils ranging from sandy clay loam to clay loam, reflecting the diverse agro-ecological conditions of the region. </w:t>
      </w:r>
      <w:r w:rsidR="00BD62B6" w:rsidRPr="00321564">
        <w:rPr>
          <w:rFonts w:ascii="Times New Roman" w:eastAsiaTheme="minorHAnsi" w:hAnsi="Times New Roman" w:cs="Times New Roman"/>
          <w:color w:val="000000" w:themeColor="text1"/>
          <w:sz w:val="24"/>
          <w:szCs w:val="24"/>
          <w:lang w:eastAsia="en-US"/>
        </w:rPr>
        <w:t>Rainfall particulars of SPSR Nellore district in 2022-23, 20</w:t>
      </w:r>
      <w:r w:rsidR="00925604" w:rsidRPr="00321564">
        <w:rPr>
          <w:rFonts w:ascii="Times New Roman" w:eastAsiaTheme="minorHAnsi" w:hAnsi="Times New Roman" w:cs="Times New Roman"/>
          <w:color w:val="000000" w:themeColor="text1"/>
          <w:sz w:val="24"/>
          <w:szCs w:val="24"/>
          <w:lang w:eastAsia="en-US"/>
        </w:rPr>
        <w:t>23-24 and 2024-25 was given in</w:t>
      </w:r>
      <w:r w:rsidR="00BD62B6" w:rsidRPr="00321564">
        <w:rPr>
          <w:rFonts w:ascii="Times New Roman" w:eastAsiaTheme="minorHAnsi" w:hAnsi="Times New Roman" w:cs="Times New Roman"/>
          <w:color w:val="000000" w:themeColor="text1"/>
          <w:sz w:val="24"/>
          <w:szCs w:val="24"/>
          <w:lang w:eastAsia="en-US"/>
        </w:rPr>
        <w:t xml:space="preserve"> Table 1. </w:t>
      </w:r>
      <w:r w:rsidRPr="00321564">
        <w:rPr>
          <w:rFonts w:ascii="Times New Roman" w:hAnsi="Times New Roman" w:cs="Times New Roman"/>
          <w:color w:val="000000" w:themeColor="text1"/>
          <w:sz w:val="24"/>
          <w:szCs w:val="24"/>
        </w:rPr>
        <w:t>Scientific interventions</w:t>
      </w:r>
      <w:r w:rsidR="003C290C" w:rsidRPr="00321564">
        <w:rPr>
          <w:rFonts w:ascii="Times New Roman" w:hAnsi="Times New Roman" w:cs="Times New Roman"/>
          <w:color w:val="000000" w:themeColor="text1"/>
          <w:sz w:val="24"/>
          <w:szCs w:val="24"/>
        </w:rPr>
        <w:t xml:space="preserve"> were implemented in the demonstration plots which include</w:t>
      </w:r>
      <w:r w:rsidRPr="00321564">
        <w:rPr>
          <w:rFonts w:ascii="Times New Roman" w:hAnsi="Times New Roman" w:cs="Times New Roman"/>
          <w:color w:val="000000" w:themeColor="text1"/>
          <w:sz w:val="24"/>
          <w:szCs w:val="24"/>
        </w:rPr>
        <w:t xml:space="preserve"> the use of an improved </w:t>
      </w:r>
      <w:r w:rsidR="003C290C" w:rsidRPr="00321564">
        <w:rPr>
          <w:rFonts w:ascii="Times New Roman" w:hAnsi="Times New Roman" w:cs="Times New Roman"/>
          <w:color w:val="000000" w:themeColor="text1"/>
          <w:sz w:val="24"/>
          <w:szCs w:val="24"/>
        </w:rPr>
        <w:t xml:space="preserve">seed </w:t>
      </w:r>
      <w:r w:rsidRPr="00321564">
        <w:rPr>
          <w:rFonts w:ascii="Times New Roman" w:hAnsi="Times New Roman" w:cs="Times New Roman"/>
          <w:color w:val="000000" w:themeColor="text1"/>
          <w:sz w:val="24"/>
          <w:szCs w:val="24"/>
        </w:rPr>
        <w:t>variety, seed treatment, integrated nutrient management (INM), i</w:t>
      </w:r>
      <w:r w:rsidR="00527907" w:rsidRPr="00321564">
        <w:rPr>
          <w:rFonts w:ascii="Times New Roman" w:hAnsi="Times New Roman" w:cs="Times New Roman"/>
          <w:color w:val="000000" w:themeColor="text1"/>
          <w:sz w:val="24"/>
          <w:szCs w:val="24"/>
        </w:rPr>
        <w:t>ntegrated pest management (IPM)</w:t>
      </w:r>
      <w:r w:rsidRPr="00321564">
        <w:rPr>
          <w:rFonts w:ascii="Times New Roman" w:hAnsi="Times New Roman" w:cs="Times New Roman"/>
          <w:color w:val="000000" w:themeColor="text1"/>
          <w:sz w:val="24"/>
          <w:szCs w:val="24"/>
        </w:rPr>
        <w:t xml:space="preserve"> and integrated disease management (IDM)</w:t>
      </w:r>
      <w:r w:rsidR="00925604"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 xml:space="preserve"> were adopted in the demonstration plots. </w:t>
      </w:r>
      <w:r w:rsidR="003C290C" w:rsidRPr="00321564">
        <w:rPr>
          <w:rFonts w:ascii="Times New Roman" w:hAnsi="Times New Roman" w:cs="Times New Roman"/>
          <w:color w:val="000000" w:themeColor="text1"/>
          <w:sz w:val="24"/>
          <w:szCs w:val="24"/>
        </w:rPr>
        <w:t xml:space="preserve">The </w:t>
      </w:r>
      <w:r w:rsidRPr="00321564">
        <w:rPr>
          <w:rFonts w:ascii="Times New Roman" w:hAnsi="Times New Roman" w:cs="Times New Roman"/>
          <w:color w:val="000000" w:themeColor="text1"/>
          <w:sz w:val="24"/>
          <w:szCs w:val="24"/>
        </w:rPr>
        <w:t>NTJ-5</w:t>
      </w:r>
      <w:r w:rsidR="003C290C" w:rsidRPr="00321564">
        <w:rPr>
          <w:rFonts w:ascii="Times New Roman" w:hAnsi="Times New Roman" w:cs="Times New Roman"/>
          <w:color w:val="000000" w:themeColor="text1"/>
          <w:sz w:val="24"/>
          <w:szCs w:val="24"/>
        </w:rPr>
        <w:t xml:space="preserve"> variety</w:t>
      </w:r>
      <w:r w:rsidRPr="00321564">
        <w:rPr>
          <w:rFonts w:ascii="Times New Roman" w:hAnsi="Times New Roman" w:cs="Times New Roman"/>
          <w:color w:val="000000" w:themeColor="text1"/>
          <w:sz w:val="24"/>
          <w:szCs w:val="24"/>
        </w:rPr>
        <w:t xml:space="preserve"> was </w:t>
      </w:r>
      <w:r w:rsidR="003C290C" w:rsidRPr="00321564">
        <w:rPr>
          <w:rFonts w:ascii="Times New Roman" w:hAnsi="Times New Roman" w:cs="Times New Roman"/>
          <w:color w:val="000000" w:themeColor="text1"/>
          <w:sz w:val="24"/>
          <w:szCs w:val="24"/>
        </w:rPr>
        <w:t xml:space="preserve">provided </w:t>
      </w:r>
      <w:r w:rsidRPr="00321564">
        <w:rPr>
          <w:rFonts w:ascii="Times New Roman" w:hAnsi="Times New Roman" w:cs="Times New Roman"/>
          <w:color w:val="000000" w:themeColor="text1"/>
          <w:sz w:val="24"/>
          <w:szCs w:val="24"/>
        </w:rPr>
        <w:t xml:space="preserve">as a critical input to the beneficiary farmers. In addition to field demonstrations, training programmes and method demonstrations were organized to equip </w:t>
      </w:r>
      <w:r w:rsidRPr="00321564">
        <w:rPr>
          <w:rFonts w:ascii="Times New Roman" w:hAnsi="Times New Roman" w:cs="Times New Roman"/>
          <w:color w:val="000000" w:themeColor="text1"/>
          <w:sz w:val="24"/>
          <w:szCs w:val="24"/>
        </w:rPr>
        <w:lastRenderedPageBreak/>
        <w:t xml:space="preserve">farmers with knowledge of integrated crop management practices and sustainable production technologies. Awareness campaigns and interaction meetings were also conducted to enhance </w:t>
      </w:r>
      <w:r w:rsidR="00BD62B6" w:rsidRPr="00321564">
        <w:rPr>
          <w:rFonts w:ascii="Times New Roman" w:hAnsi="Times New Roman" w:cs="Times New Roman"/>
          <w:color w:val="000000" w:themeColor="text1"/>
          <w:sz w:val="24"/>
          <w:szCs w:val="24"/>
        </w:rPr>
        <w:t>farmer’s</w:t>
      </w:r>
      <w:r w:rsidRPr="00321564">
        <w:rPr>
          <w:rFonts w:ascii="Times New Roman" w:hAnsi="Times New Roman" w:cs="Times New Roman"/>
          <w:color w:val="000000" w:themeColor="text1"/>
          <w:sz w:val="24"/>
          <w:szCs w:val="24"/>
        </w:rPr>
        <w:t xml:space="preserve"> participation and confidence. Regular field visits were conducted by scientists and extension personnel during critical crop growth stages to monitor crop performance and provide timely advisories. Observations were recorded on plant height (cm), panicle length (cm), test weight (g), grain yield (kg/ha), cost of cultivation (Rs./ha), gross returns</w:t>
      </w:r>
      <w:r w:rsidR="00527907" w:rsidRPr="00321564">
        <w:rPr>
          <w:rFonts w:ascii="Times New Roman" w:hAnsi="Times New Roman" w:cs="Times New Roman"/>
          <w:color w:val="000000" w:themeColor="text1"/>
          <w:sz w:val="24"/>
          <w:szCs w:val="24"/>
        </w:rPr>
        <w:t xml:space="preserve"> (Rs./ha), net returns (Rs./ha)</w:t>
      </w:r>
      <w:r w:rsidRPr="00321564">
        <w:rPr>
          <w:rFonts w:ascii="Times New Roman" w:hAnsi="Times New Roman" w:cs="Times New Roman"/>
          <w:color w:val="000000" w:themeColor="text1"/>
          <w:sz w:val="24"/>
          <w:szCs w:val="24"/>
        </w:rPr>
        <w:t xml:space="preserve"> and benefit-cost ratio (B:C). Additionally, th</w:t>
      </w:r>
      <w:r w:rsidR="00527907" w:rsidRPr="00321564">
        <w:rPr>
          <w:rFonts w:ascii="Times New Roman" w:hAnsi="Times New Roman" w:cs="Times New Roman"/>
          <w:color w:val="000000" w:themeColor="text1"/>
          <w:sz w:val="24"/>
          <w:szCs w:val="24"/>
        </w:rPr>
        <w:t>e technology gap, extension gap</w:t>
      </w:r>
      <w:r w:rsidRPr="00321564">
        <w:rPr>
          <w:rFonts w:ascii="Times New Roman" w:hAnsi="Times New Roman" w:cs="Times New Roman"/>
          <w:color w:val="000000" w:themeColor="text1"/>
          <w:sz w:val="24"/>
          <w:szCs w:val="24"/>
        </w:rPr>
        <w:t xml:space="preserve"> and technology index were computed by comparing NTJ-5 with loca</w:t>
      </w:r>
      <w:r w:rsidR="00487D2B">
        <w:rPr>
          <w:rFonts w:ascii="Times New Roman" w:hAnsi="Times New Roman" w:cs="Times New Roman"/>
          <w:color w:val="000000" w:themeColor="text1"/>
          <w:sz w:val="24"/>
          <w:szCs w:val="24"/>
        </w:rPr>
        <w:t>lly cultivated varieties/hybrids.</w:t>
      </w:r>
    </w:p>
    <w:p w:rsidR="007724A3" w:rsidRPr="00321564" w:rsidRDefault="007724A3" w:rsidP="00A14CA3">
      <w:pPr>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The formula used for calculating the aforesaid data was as follows</w:t>
      </w:r>
      <w:r w:rsidR="00B62CF5" w:rsidRPr="00321564">
        <w:rPr>
          <w:rFonts w:ascii="Times New Roman" w:hAnsi="Times New Roman" w:cs="Times New Roman"/>
          <w:b/>
          <w:bCs/>
          <w:color w:val="000000" w:themeColor="text1"/>
          <w:sz w:val="24"/>
          <w:szCs w:val="24"/>
        </w:rPr>
        <w:t>:</w:t>
      </w:r>
    </w:p>
    <w:p w:rsidR="00057635" w:rsidRPr="00321564" w:rsidRDefault="00A14CA3" w:rsidP="00A14CA3">
      <w:pPr>
        <w:spacing w:before="240" w:line="360" w:lineRule="auto"/>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Te</w:t>
      </w:r>
      <w:r w:rsidR="009036BC" w:rsidRPr="00321564">
        <w:rPr>
          <w:rFonts w:ascii="Times New Roman" w:hAnsi="Times New Roman" w:cs="Times New Roman"/>
          <w:color w:val="000000" w:themeColor="text1"/>
          <w:sz w:val="24"/>
          <w:szCs w:val="24"/>
        </w:rPr>
        <w:t>chnology gap = Potential yield -</w:t>
      </w:r>
      <w:r w:rsidRPr="00321564">
        <w:rPr>
          <w:rFonts w:ascii="Times New Roman" w:hAnsi="Times New Roman" w:cs="Times New Roman"/>
          <w:color w:val="000000" w:themeColor="text1"/>
          <w:sz w:val="24"/>
          <w:szCs w:val="24"/>
        </w:rPr>
        <w:t xml:space="preserve"> demonstration yield </w:t>
      </w:r>
    </w:p>
    <w:p w:rsidR="00A14CA3" w:rsidRPr="00321564" w:rsidRDefault="00A14CA3" w:rsidP="00A14CA3">
      <w:pPr>
        <w:spacing w:before="240" w:line="360" w:lineRule="auto"/>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Extension gap = Demonstration yield - farmers practice yield</w:t>
      </w:r>
    </w:p>
    <w:p w:rsidR="00DB0DAE" w:rsidRPr="00321564" w:rsidRDefault="00DB0DAE" w:rsidP="00DB0DAE">
      <w:pPr>
        <w:pStyle w:val="Normal1"/>
        <w:widowControl w:val="0"/>
        <w:spacing w:after="0" w:line="240" w:lineRule="auto"/>
        <w:contextualSpacing/>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 xml:space="preserve">Technology index (%)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Technology gap</m:t>
            </m:r>
          </m:num>
          <m:den>
            <m:r>
              <w:rPr>
                <w:rFonts w:ascii="Cambria Math" w:hAnsi="Cambria Math" w:cs="Times New Roman"/>
                <w:color w:val="000000" w:themeColor="text1"/>
                <w:sz w:val="24"/>
                <w:szCs w:val="24"/>
              </w:rPr>
              <m:t>Potential yield</m:t>
            </m:r>
          </m:den>
        </m:f>
      </m:oMath>
      <w:r w:rsidRPr="00321564">
        <w:rPr>
          <w:rFonts w:ascii="Times New Roman" w:hAnsi="Times New Roman" w:cs="Times New Roman"/>
          <w:color w:val="000000" w:themeColor="text1"/>
          <w:sz w:val="24"/>
          <w:szCs w:val="24"/>
        </w:rPr>
        <w:t xml:space="preserve"> × 100</w:t>
      </w:r>
    </w:p>
    <w:p w:rsidR="00DB0DAE" w:rsidRPr="00321564" w:rsidRDefault="00DB0DAE" w:rsidP="00DB0DAE">
      <w:pPr>
        <w:pStyle w:val="Normal1"/>
        <w:widowControl w:val="0"/>
        <w:spacing w:after="0" w:line="240" w:lineRule="auto"/>
        <w:contextualSpacing/>
        <w:jc w:val="both"/>
        <w:rPr>
          <w:rFonts w:ascii="Times New Roman" w:hAnsi="Times New Roman" w:cs="Times New Roman"/>
          <w:color w:val="000000" w:themeColor="text1"/>
          <w:sz w:val="24"/>
          <w:szCs w:val="24"/>
        </w:rPr>
      </w:pPr>
    </w:p>
    <w:p w:rsidR="006E06D1" w:rsidRPr="00321564" w:rsidRDefault="00D30AF4" w:rsidP="00A14CA3">
      <w:pPr>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 xml:space="preserve">3. </w:t>
      </w:r>
      <w:r w:rsidR="006E06D1" w:rsidRPr="00321564">
        <w:rPr>
          <w:rFonts w:ascii="Times New Roman" w:hAnsi="Times New Roman" w:cs="Times New Roman"/>
          <w:b/>
          <w:bCs/>
          <w:color w:val="000000" w:themeColor="text1"/>
          <w:sz w:val="24"/>
          <w:szCs w:val="24"/>
        </w:rPr>
        <w:t>RESULTS AND DISCUSSION:</w:t>
      </w:r>
    </w:p>
    <w:p w:rsidR="00C13304" w:rsidRPr="00321564" w:rsidRDefault="00C13304" w:rsidP="00082D7E">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321564">
        <w:rPr>
          <w:rFonts w:ascii="Times New Roman" w:eastAsia="Times New Roman" w:hAnsi="Times New Roman" w:cs="Times New Roman"/>
          <w:b/>
          <w:bCs/>
          <w:color w:val="000000" w:themeColor="text1"/>
          <w:sz w:val="24"/>
          <w:szCs w:val="24"/>
        </w:rPr>
        <w:t>Rainfall distribution:</w:t>
      </w:r>
    </w:p>
    <w:p w:rsidR="00C13304" w:rsidRPr="00321564" w:rsidRDefault="00C13304" w:rsidP="00C13304">
      <w:pPr>
        <w:spacing w:before="100" w:beforeAutospacing="1" w:after="100" w:afterAutospacing="1" w:line="360" w:lineRule="auto"/>
        <w:ind w:firstLine="720"/>
        <w:jc w:val="both"/>
        <w:rPr>
          <w:rFonts w:ascii="Times New Roman" w:eastAsia="Times New Roman" w:hAnsi="Times New Roman" w:cs="Times New Roman"/>
          <w:b/>
          <w:bCs/>
          <w:color w:val="000000" w:themeColor="text1"/>
          <w:sz w:val="24"/>
          <w:szCs w:val="24"/>
        </w:rPr>
      </w:pPr>
      <w:r w:rsidRPr="00321564">
        <w:rPr>
          <w:rFonts w:ascii="Times New Roman" w:hAnsi="Times New Roman" w:cs="Times New Roman"/>
          <w:color w:val="000000" w:themeColor="text1"/>
          <w:sz w:val="24"/>
          <w:szCs w:val="24"/>
        </w:rPr>
        <w:t xml:space="preserve">Analysis of rainfall data from </w:t>
      </w:r>
      <w:r w:rsidR="00D77174" w:rsidRPr="00321564">
        <w:rPr>
          <w:rFonts w:ascii="Times New Roman" w:hAnsi="Times New Roman" w:cs="Times New Roman"/>
          <w:color w:val="000000" w:themeColor="text1"/>
          <w:sz w:val="24"/>
          <w:szCs w:val="24"/>
        </w:rPr>
        <w:t>2022-23 to 2024-</w:t>
      </w:r>
      <w:r w:rsidRPr="00321564">
        <w:rPr>
          <w:rFonts w:ascii="Times New Roman" w:hAnsi="Times New Roman" w:cs="Times New Roman"/>
          <w:color w:val="000000" w:themeColor="text1"/>
          <w:sz w:val="24"/>
          <w:szCs w:val="24"/>
        </w:rPr>
        <w:t>25 in SPSR Nellore district reveals pronounced inter-annual and intra-seasonal variability, indicative of a shifting rainfall regime in a region predominantly reliant on the North-East monsoon (October-December) for the majority of its annual precipitation. Total annual rainfall was near normal in 2022-23 (763.3 mm), slightly bel</w:t>
      </w:r>
      <w:r w:rsidR="00D77174" w:rsidRPr="00321564">
        <w:rPr>
          <w:rFonts w:ascii="Times New Roman" w:hAnsi="Times New Roman" w:cs="Times New Roman"/>
          <w:color w:val="000000" w:themeColor="text1"/>
          <w:sz w:val="24"/>
          <w:szCs w:val="24"/>
        </w:rPr>
        <w:t>ow normal in 2023-24 (794.4 mm)</w:t>
      </w:r>
      <w:r w:rsidRPr="00321564">
        <w:rPr>
          <w:rFonts w:ascii="Times New Roman" w:hAnsi="Times New Roman" w:cs="Times New Roman"/>
          <w:color w:val="000000" w:themeColor="text1"/>
          <w:sz w:val="24"/>
          <w:szCs w:val="24"/>
        </w:rPr>
        <w:t xml:space="preserve"> and substantially above normal in 2024-25 (1066.5 mm), with variations largely attributed to anomalous rainfall events during th</w:t>
      </w:r>
      <w:r w:rsidR="00ED22FD" w:rsidRPr="00321564">
        <w:rPr>
          <w:rFonts w:ascii="Times New Roman" w:hAnsi="Times New Roman" w:cs="Times New Roman"/>
          <w:color w:val="000000" w:themeColor="text1"/>
          <w:sz w:val="24"/>
          <w:szCs w:val="24"/>
        </w:rPr>
        <w:t xml:space="preserve">e late and post-monsoon phases. </w:t>
      </w:r>
      <w:r w:rsidRPr="00321564">
        <w:rPr>
          <w:rFonts w:ascii="Times New Roman" w:hAnsi="Times New Roman" w:cs="Times New Roman"/>
          <w:color w:val="000000" w:themeColor="text1"/>
          <w:sz w:val="24"/>
          <w:szCs w:val="24"/>
        </w:rPr>
        <w:t>J</w:t>
      </w:r>
      <w:r w:rsidR="00752543" w:rsidRPr="00321564">
        <w:rPr>
          <w:rFonts w:ascii="Times New Roman" w:hAnsi="Times New Roman" w:cs="Times New Roman"/>
          <w:color w:val="000000" w:themeColor="text1"/>
          <w:sz w:val="24"/>
          <w:szCs w:val="24"/>
        </w:rPr>
        <w:t xml:space="preserve">uly consistently recorded above </w:t>
      </w:r>
      <w:r w:rsidR="00D77174" w:rsidRPr="00321564">
        <w:rPr>
          <w:rFonts w:ascii="Times New Roman" w:hAnsi="Times New Roman" w:cs="Times New Roman"/>
          <w:color w:val="000000" w:themeColor="text1"/>
          <w:sz w:val="24"/>
          <w:szCs w:val="24"/>
        </w:rPr>
        <w:t>normal rainfall</w:t>
      </w:r>
      <w:r w:rsidRPr="00321564">
        <w:rPr>
          <w:rFonts w:ascii="Times New Roman" w:hAnsi="Times New Roman" w:cs="Times New Roman"/>
          <w:color w:val="000000" w:themeColor="text1"/>
          <w:sz w:val="24"/>
          <w:szCs w:val="24"/>
        </w:rPr>
        <w:t>; however, a significant decline in rainfall was obser</w:t>
      </w:r>
      <w:r w:rsidR="00ED22FD" w:rsidRPr="00321564">
        <w:rPr>
          <w:rFonts w:ascii="Times New Roman" w:hAnsi="Times New Roman" w:cs="Times New Roman"/>
          <w:color w:val="000000" w:themeColor="text1"/>
          <w:sz w:val="24"/>
          <w:szCs w:val="24"/>
        </w:rPr>
        <w:t>ved during August and September (</w:t>
      </w:r>
      <w:r w:rsidRPr="00321564">
        <w:rPr>
          <w:rFonts w:ascii="Times New Roman" w:hAnsi="Times New Roman" w:cs="Times New Roman"/>
          <w:color w:val="000000" w:themeColor="text1"/>
          <w:sz w:val="24"/>
          <w:szCs w:val="24"/>
        </w:rPr>
        <w:t>key South-West monsoon mon</w:t>
      </w:r>
      <w:r w:rsidR="00ED22FD" w:rsidRPr="00321564">
        <w:rPr>
          <w:rFonts w:ascii="Times New Roman" w:hAnsi="Times New Roman" w:cs="Times New Roman"/>
          <w:color w:val="000000" w:themeColor="text1"/>
          <w:sz w:val="24"/>
          <w:szCs w:val="24"/>
        </w:rPr>
        <w:t>th</w:t>
      </w:r>
      <w:r w:rsidR="003D2A50" w:rsidRPr="00321564">
        <w:rPr>
          <w:rFonts w:ascii="Times New Roman" w:hAnsi="Times New Roman" w:cs="Times New Roman"/>
          <w:color w:val="000000" w:themeColor="text1"/>
          <w:sz w:val="24"/>
          <w:szCs w:val="24"/>
        </w:rPr>
        <w:t>s</w:t>
      </w:r>
      <w:r w:rsidR="00ED22FD"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 xml:space="preserve"> indicating weakened rainfall performance during the core </w:t>
      </w:r>
      <w:r w:rsidRPr="00321564">
        <w:rPr>
          <w:rFonts w:ascii="Times New Roman" w:hAnsi="Times New Roman" w:cs="Times New Roman"/>
          <w:i/>
          <w:iCs/>
          <w:color w:val="000000" w:themeColor="text1"/>
          <w:sz w:val="24"/>
          <w:szCs w:val="24"/>
        </w:rPr>
        <w:t>kharif</w:t>
      </w:r>
      <w:r w:rsidRPr="00321564">
        <w:rPr>
          <w:rFonts w:ascii="Times New Roman" w:hAnsi="Times New Roman" w:cs="Times New Roman"/>
          <w:color w:val="000000" w:themeColor="text1"/>
          <w:sz w:val="24"/>
          <w:szCs w:val="24"/>
        </w:rPr>
        <w:t xml:space="preserve"> period. A sharp spike in October 2024-25 (347.9 mm, +40%) marks a clear temporal shift in rainfall concentration toward the post-monsoon phase. November, which typically contributes a major share of North-East monsoon rainfall, showed</w:t>
      </w:r>
      <w:r w:rsidR="004C7673" w:rsidRPr="00321564">
        <w:rPr>
          <w:rFonts w:ascii="Times New Roman" w:hAnsi="Times New Roman" w:cs="Times New Roman"/>
          <w:color w:val="000000" w:themeColor="text1"/>
          <w:sz w:val="24"/>
          <w:szCs w:val="24"/>
        </w:rPr>
        <w:t xml:space="preserve"> a declining trend across years </w:t>
      </w:r>
      <w:r w:rsidR="00D77174" w:rsidRPr="00321564">
        <w:rPr>
          <w:rFonts w:ascii="Times New Roman" w:hAnsi="Times New Roman" w:cs="Times New Roman"/>
          <w:color w:val="000000" w:themeColor="text1"/>
          <w:sz w:val="24"/>
          <w:szCs w:val="24"/>
        </w:rPr>
        <w:t>from 313.2 mm (+8.9%) in 2022-</w:t>
      </w:r>
      <w:r w:rsidR="004C7673" w:rsidRPr="00321564">
        <w:rPr>
          <w:rFonts w:ascii="Times New Roman" w:hAnsi="Times New Roman" w:cs="Times New Roman"/>
          <w:color w:val="000000" w:themeColor="text1"/>
          <w:sz w:val="24"/>
          <w:szCs w:val="24"/>
        </w:rPr>
        <w:t>23 to 193.2 mm (-</w:t>
      </w:r>
      <w:r w:rsidRPr="00321564">
        <w:rPr>
          <w:rFonts w:ascii="Times New Roman" w:hAnsi="Times New Roman" w:cs="Times New Roman"/>
          <w:color w:val="000000" w:themeColor="text1"/>
          <w:sz w:val="24"/>
          <w:szCs w:val="24"/>
        </w:rPr>
        <w:t>35.1%) in 2024-25</w:t>
      </w:r>
      <w:r w:rsidR="00D77174"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 xml:space="preserve"> potentially shortening the effective N-E monsoon window. Additionally, December recorded unusually high rainfall in 2023-24 (297.4 mm, +200%) and 2024-25 (202.6 mm, +104.4%), driven by cyclonic activity in the Bay of Bengal. Meanwhile, January and February remained persistently dry, with February receiving </w:t>
      </w:r>
      <w:r w:rsidRPr="00321564">
        <w:rPr>
          <w:rStyle w:val="Strong"/>
          <w:rFonts w:ascii="Times New Roman" w:hAnsi="Times New Roman" w:cs="Times New Roman"/>
          <w:b w:val="0"/>
          <w:bCs w:val="0"/>
          <w:color w:val="000000" w:themeColor="text1"/>
          <w:sz w:val="24"/>
          <w:szCs w:val="24"/>
        </w:rPr>
        <w:t xml:space="preserve">0 mm </w:t>
      </w:r>
      <w:r w:rsidR="00D77174" w:rsidRPr="00321564">
        <w:rPr>
          <w:rStyle w:val="Strong"/>
          <w:rFonts w:ascii="Times New Roman" w:hAnsi="Times New Roman" w:cs="Times New Roman"/>
          <w:b w:val="0"/>
          <w:bCs w:val="0"/>
          <w:color w:val="000000" w:themeColor="text1"/>
          <w:sz w:val="24"/>
          <w:szCs w:val="24"/>
        </w:rPr>
        <w:t xml:space="preserve">of </w:t>
      </w:r>
      <w:r w:rsidRPr="00321564">
        <w:rPr>
          <w:rStyle w:val="Strong"/>
          <w:rFonts w:ascii="Times New Roman" w:hAnsi="Times New Roman" w:cs="Times New Roman"/>
          <w:b w:val="0"/>
          <w:bCs w:val="0"/>
          <w:color w:val="000000" w:themeColor="text1"/>
          <w:sz w:val="24"/>
          <w:szCs w:val="24"/>
        </w:rPr>
        <w:t>rainfall</w:t>
      </w:r>
      <w:r w:rsidRPr="00321564">
        <w:rPr>
          <w:rFonts w:ascii="Times New Roman" w:hAnsi="Times New Roman" w:cs="Times New Roman"/>
          <w:color w:val="000000" w:themeColor="text1"/>
          <w:sz w:val="24"/>
          <w:szCs w:val="24"/>
        </w:rPr>
        <w:t xml:space="preserve"> for three consecutive years, intensifying moisture stress during the </w:t>
      </w:r>
      <w:r w:rsidRPr="00321564">
        <w:rPr>
          <w:rFonts w:ascii="Times New Roman" w:hAnsi="Times New Roman" w:cs="Times New Roman"/>
          <w:i/>
          <w:iCs/>
          <w:color w:val="000000" w:themeColor="text1"/>
          <w:sz w:val="24"/>
          <w:szCs w:val="24"/>
        </w:rPr>
        <w:t>rabi</w:t>
      </w:r>
      <w:r w:rsidRPr="00321564">
        <w:rPr>
          <w:rFonts w:ascii="Times New Roman" w:hAnsi="Times New Roman" w:cs="Times New Roman"/>
          <w:color w:val="000000" w:themeColor="text1"/>
          <w:sz w:val="24"/>
          <w:szCs w:val="24"/>
        </w:rPr>
        <w:t xml:space="preserve"> season.</w:t>
      </w:r>
      <w:r w:rsidR="00B340C5" w:rsidRPr="00321564">
        <w:rPr>
          <w:rFonts w:ascii="Times New Roman" w:hAnsi="Times New Roman" w:cs="Times New Roman"/>
          <w:color w:val="000000" w:themeColor="text1"/>
          <w:sz w:val="24"/>
          <w:szCs w:val="24"/>
        </w:rPr>
        <w:t xml:space="preserve"> This erratic rainfall pattern, especially the late-season dry spells, may have constrained the crop from achieving its potential yield under FLDs (4500-5000 kg/ha).</w:t>
      </w:r>
    </w:p>
    <w:p w:rsidR="00082D7E" w:rsidRPr="00321564" w:rsidRDefault="009D10EB" w:rsidP="00082D7E">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321564">
        <w:rPr>
          <w:rFonts w:ascii="Times New Roman" w:eastAsia="Times New Roman" w:hAnsi="Times New Roman" w:cs="Times New Roman"/>
          <w:b/>
          <w:bCs/>
          <w:color w:val="000000" w:themeColor="text1"/>
          <w:sz w:val="24"/>
          <w:szCs w:val="24"/>
        </w:rPr>
        <w:t>Plant growth and yield attributes</w:t>
      </w:r>
      <w:r w:rsidR="00082D7E" w:rsidRPr="00321564">
        <w:rPr>
          <w:rFonts w:ascii="Times New Roman" w:eastAsia="Times New Roman" w:hAnsi="Times New Roman" w:cs="Times New Roman"/>
          <w:b/>
          <w:bCs/>
          <w:color w:val="000000" w:themeColor="text1"/>
          <w:sz w:val="24"/>
          <w:szCs w:val="24"/>
        </w:rPr>
        <w:t>:</w:t>
      </w:r>
    </w:p>
    <w:p w:rsidR="00082D7E" w:rsidRPr="00321564" w:rsidRDefault="009D10EB" w:rsidP="00082D7E">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 xml:space="preserve">The NTJ-5 white jowar variety had a shorter average plant height (137.9 cm) compared to the local varieties/hybrids (190.0 cm). This shorter height is an advantage because it helps the plants to resist lodging due </w:t>
      </w:r>
      <w:r w:rsidRPr="00321564">
        <w:rPr>
          <w:rFonts w:ascii="Times New Roman" w:hAnsi="Times New Roman" w:cs="Times New Roman"/>
          <w:color w:val="000000" w:themeColor="text1"/>
          <w:sz w:val="24"/>
          <w:szCs w:val="24"/>
        </w:rPr>
        <w:lastRenderedPageBreak/>
        <w:t xml:space="preserve">to heavy rains and winds, which are common in </w:t>
      </w:r>
      <w:r w:rsidR="000028E7" w:rsidRPr="00321564">
        <w:rPr>
          <w:rFonts w:ascii="Times New Roman" w:hAnsi="Times New Roman" w:cs="Times New Roman"/>
          <w:color w:val="000000" w:themeColor="text1"/>
          <w:sz w:val="24"/>
          <w:szCs w:val="24"/>
        </w:rPr>
        <w:t xml:space="preserve">the </w:t>
      </w:r>
      <w:r w:rsidRPr="00321564">
        <w:rPr>
          <w:rFonts w:ascii="Times New Roman" w:hAnsi="Times New Roman" w:cs="Times New Roman"/>
          <w:color w:val="000000" w:themeColor="text1"/>
          <w:sz w:val="24"/>
          <w:szCs w:val="24"/>
        </w:rPr>
        <w:t xml:space="preserve">SPSR Nellore district. </w:t>
      </w:r>
      <w:r w:rsidR="0096056E" w:rsidRPr="00321564">
        <w:rPr>
          <w:rFonts w:ascii="Times New Roman" w:hAnsi="Times New Roman" w:cs="Times New Roman"/>
          <w:color w:val="000000" w:themeColor="text1"/>
          <w:sz w:val="24"/>
          <w:szCs w:val="24"/>
        </w:rPr>
        <w:t xml:space="preserve">NTJ-5 exhibited a longer average panicle length (27.3 cm) compared to the local varieties and hybrids (24.3 cm). </w:t>
      </w:r>
      <w:r w:rsidRPr="00321564">
        <w:rPr>
          <w:rFonts w:ascii="Times New Roman" w:hAnsi="Times New Roman" w:cs="Times New Roman"/>
          <w:color w:val="000000" w:themeColor="text1"/>
          <w:sz w:val="24"/>
          <w:szCs w:val="24"/>
        </w:rPr>
        <w:t>The test weight, which reflects grain filling and quality, was higher in NTJ-5 (3</w:t>
      </w:r>
      <w:r w:rsidR="0096056E" w:rsidRPr="00321564">
        <w:rPr>
          <w:rFonts w:ascii="Times New Roman" w:hAnsi="Times New Roman" w:cs="Times New Roman"/>
          <w:color w:val="000000" w:themeColor="text1"/>
          <w:sz w:val="24"/>
          <w:szCs w:val="24"/>
        </w:rPr>
        <w:t>3.6 g) than in the local varieties/hybrids</w:t>
      </w:r>
      <w:r w:rsidRPr="00321564">
        <w:rPr>
          <w:rFonts w:ascii="Times New Roman" w:hAnsi="Times New Roman" w:cs="Times New Roman"/>
          <w:color w:val="000000" w:themeColor="text1"/>
          <w:sz w:val="24"/>
          <w:szCs w:val="24"/>
        </w:rPr>
        <w:t xml:space="preserve"> (30.7 g</w:t>
      </w:r>
      <w:r w:rsidR="0096056E" w:rsidRPr="00321564">
        <w:rPr>
          <w:rFonts w:ascii="Times New Roman" w:hAnsi="Times New Roman" w:cs="Times New Roman"/>
          <w:color w:val="000000" w:themeColor="text1"/>
          <w:sz w:val="24"/>
          <w:szCs w:val="24"/>
        </w:rPr>
        <w:t>)</w:t>
      </w:r>
      <w:r w:rsidRPr="00321564">
        <w:rPr>
          <w:rFonts w:ascii="Times New Roman" w:hAnsi="Times New Roman" w:cs="Times New Roman"/>
          <w:color w:val="000000" w:themeColor="text1"/>
          <w:sz w:val="24"/>
          <w:szCs w:val="24"/>
        </w:rPr>
        <w:t xml:space="preserve">. In terms of yield, NTJ-5 recorded an average of 3889 kg/ha, which is </w:t>
      </w:r>
      <w:r w:rsidR="0096056E" w:rsidRPr="00321564">
        <w:rPr>
          <w:rFonts w:ascii="Times New Roman" w:hAnsi="Times New Roman" w:cs="Times New Roman"/>
          <w:color w:val="000000" w:themeColor="text1"/>
          <w:sz w:val="24"/>
          <w:szCs w:val="24"/>
        </w:rPr>
        <w:t>13.98% (</w:t>
      </w:r>
      <w:r w:rsidRPr="00321564">
        <w:rPr>
          <w:rFonts w:ascii="Times New Roman" w:hAnsi="Times New Roman" w:cs="Times New Roman"/>
          <w:color w:val="000000" w:themeColor="text1"/>
          <w:sz w:val="24"/>
          <w:szCs w:val="24"/>
        </w:rPr>
        <w:t>477 kg/ha</w:t>
      </w:r>
      <w:r w:rsidR="0096056E" w:rsidRPr="00321564">
        <w:rPr>
          <w:rFonts w:ascii="Times New Roman" w:hAnsi="Times New Roman" w:cs="Times New Roman"/>
          <w:color w:val="000000" w:themeColor="text1"/>
          <w:sz w:val="24"/>
          <w:szCs w:val="24"/>
        </w:rPr>
        <w:t xml:space="preserve">) </w:t>
      </w:r>
      <w:r w:rsidRPr="00321564">
        <w:rPr>
          <w:rFonts w:ascii="Times New Roman" w:hAnsi="Times New Roman" w:cs="Times New Roman"/>
          <w:color w:val="000000" w:themeColor="text1"/>
          <w:sz w:val="24"/>
          <w:szCs w:val="24"/>
        </w:rPr>
        <w:t>more than the loca</w:t>
      </w:r>
      <w:r w:rsidR="0096056E" w:rsidRPr="00321564">
        <w:rPr>
          <w:rFonts w:ascii="Times New Roman" w:hAnsi="Times New Roman" w:cs="Times New Roman"/>
          <w:color w:val="000000" w:themeColor="text1"/>
          <w:sz w:val="24"/>
          <w:szCs w:val="24"/>
        </w:rPr>
        <w:t>l varieties/hybrids</w:t>
      </w:r>
      <w:r w:rsidRPr="00321564">
        <w:rPr>
          <w:rFonts w:ascii="Times New Roman" w:hAnsi="Times New Roman" w:cs="Times New Roman"/>
          <w:color w:val="000000" w:themeColor="text1"/>
          <w:sz w:val="24"/>
          <w:szCs w:val="24"/>
        </w:rPr>
        <w:t xml:space="preserve"> (3412 kg/ha). </w:t>
      </w:r>
      <w:r w:rsidR="0096056E" w:rsidRPr="00321564">
        <w:rPr>
          <w:rFonts w:ascii="Times New Roman" w:hAnsi="Times New Roman" w:cs="Times New Roman"/>
          <w:color w:val="000000" w:themeColor="text1"/>
          <w:sz w:val="24"/>
          <w:szCs w:val="24"/>
        </w:rPr>
        <w:t xml:space="preserve">The variation in grain and stover yields among the different sorghum varieties is likely due to differences in their genetic potential to efficiently utilize and translocate photosynthates from source to sink. </w:t>
      </w:r>
    </w:p>
    <w:p w:rsidR="00EC006D" w:rsidRPr="00321564" w:rsidRDefault="002320B9" w:rsidP="002320B9">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Economic</w:t>
      </w:r>
      <w:r w:rsidR="008E2043" w:rsidRPr="00321564">
        <w:rPr>
          <w:rFonts w:ascii="Times New Roman" w:eastAsiaTheme="minorHAnsi" w:hAnsi="Times New Roman" w:cs="Times New Roman"/>
          <w:b/>
          <w:bCs/>
          <w:color w:val="000000" w:themeColor="text1"/>
          <w:sz w:val="24"/>
          <w:szCs w:val="24"/>
          <w:lang w:eastAsia="en-US"/>
        </w:rPr>
        <w:t>s:</w:t>
      </w:r>
    </w:p>
    <w:p w:rsidR="00F81A05" w:rsidRPr="00321564" w:rsidRDefault="006F6B3A" w:rsidP="00D538BB">
      <w:pPr>
        <w:spacing w:before="240" w:line="360" w:lineRule="auto"/>
        <w:ind w:firstLine="720"/>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The highest net re</w:t>
      </w:r>
      <w:r w:rsidR="00D949D2" w:rsidRPr="00321564">
        <w:rPr>
          <w:rFonts w:ascii="Times New Roman" w:hAnsi="Times New Roman" w:cs="Times New Roman"/>
          <w:color w:val="000000" w:themeColor="text1"/>
          <w:sz w:val="24"/>
          <w:szCs w:val="24"/>
        </w:rPr>
        <w:t xml:space="preserve">turns and benefit-cost ratio </w:t>
      </w:r>
      <w:r w:rsidR="003C290C" w:rsidRPr="00321564">
        <w:rPr>
          <w:rFonts w:ascii="Times New Roman" w:hAnsi="Times New Roman" w:cs="Times New Roman"/>
          <w:color w:val="000000" w:themeColor="text1"/>
          <w:sz w:val="24"/>
          <w:szCs w:val="24"/>
        </w:rPr>
        <w:t xml:space="preserve">was recorded </w:t>
      </w:r>
      <w:r w:rsidRPr="00321564">
        <w:rPr>
          <w:rFonts w:ascii="Times New Roman" w:hAnsi="Times New Roman" w:cs="Times New Roman"/>
          <w:color w:val="000000" w:themeColor="text1"/>
          <w:sz w:val="24"/>
          <w:szCs w:val="24"/>
        </w:rPr>
        <w:t xml:space="preserve">in NTJ-5 </w:t>
      </w:r>
      <w:r w:rsidR="003C290C" w:rsidRPr="00321564">
        <w:rPr>
          <w:rFonts w:ascii="Times New Roman" w:hAnsi="Times New Roman" w:cs="Times New Roman"/>
          <w:color w:val="000000" w:themeColor="text1"/>
          <w:sz w:val="24"/>
          <w:szCs w:val="24"/>
        </w:rPr>
        <w:t xml:space="preserve">as </w:t>
      </w:r>
      <w:r w:rsidRPr="00321564">
        <w:rPr>
          <w:rFonts w:ascii="Times New Roman" w:hAnsi="Times New Roman" w:cs="Times New Roman"/>
          <w:color w:val="000000" w:themeColor="text1"/>
          <w:sz w:val="24"/>
          <w:szCs w:val="24"/>
        </w:rPr>
        <w:t>compared to local varieties/hybrids</w:t>
      </w:r>
      <w:r w:rsidR="00C83881" w:rsidRPr="00321564">
        <w:rPr>
          <w:rFonts w:ascii="Times New Roman" w:hAnsi="Times New Roman" w:cs="Times New Roman"/>
          <w:color w:val="000000" w:themeColor="text1"/>
          <w:sz w:val="24"/>
          <w:szCs w:val="24"/>
        </w:rPr>
        <w:t>. The improved NTJ-5 variety recorded a higher average net return</w:t>
      </w:r>
      <w:r w:rsidR="003C290C" w:rsidRPr="00321564">
        <w:rPr>
          <w:rFonts w:ascii="Times New Roman" w:hAnsi="Times New Roman" w:cs="Times New Roman"/>
          <w:color w:val="000000" w:themeColor="text1"/>
          <w:sz w:val="24"/>
          <w:szCs w:val="24"/>
        </w:rPr>
        <w:t>s</w:t>
      </w:r>
      <w:r w:rsidR="00C83881" w:rsidRPr="00321564">
        <w:rPr>
          <w:rFonts w:ascii="Times New Roman" w:hAnsi="Times New Roman" w:cs="Times New Roman"/>
          <w:color w:val="000000" w:themeColor="text1"/>
          <w:sz w:val="24"/>
          <w:szCs w:val="24"/>
        </w:rPr>
        <w:t xml:space="preserve"> o</w:t>
      </w:r>
      <w:r w:rsidR="003D2A50" w:rsidRPr="00321564">
        <w:rPr>
          <w:rFonts w:ascii="Times New Roman" w:hAnsi="Times New Roman" w:cs="Times New Roman"/>
          <w:color w:val="000000" w:themeColor="text1"/>
          <w:sz w:val="24"/>
          <w:szCs w:val="24"/>
        </w:rPr>
        <w:t xml:space="preserve">f Rs. </w:t>
      </w:r>
      <w:r w:rsidR="00C83881" w:rsidRPr="00321564">
        <w:rPr>
          <w:rFonts w:ascii="Times New Roman" w:hAnsi="Times New Roman" w:cs="Times New Roman"/>
          <w:color w:val="000000" w:themeColor="text1"/>
          <w:sz w:val="24"/>
          <w:szCs w:val="24"/>
        </w:rPr>
        <w:t>80,588/ha and a benefit-cost ratio of 3.09, compa</w:t>
      </w:r>
      <w:r w:rsidR="003D2A50" w:rsidRPr="00321564">
        <w:rPr>
          <w:rFonts w:ascii="Times New Roman" w:hAnsi="Times New Roman" w:cs="Times New Roman"/>
          <w:color w:val="000000" w:themeColor="text1"/>
          <w:sz w:val="24"/>
          <w:szCs w:val="24"/>
        </w:rPr>
        <w:t>red to the lower net return</w:t>
      </w:r>
      <w:r w:rsidR="003C290C" w:rsidRPr="00321564">
        <w:rPr>
          <w:rFonts w:ascii="Times New Roman" w:hAnsi="Times New Roman" w:cs="Times New Roman"/>
          <w:color w:val="000000" w:themeColor="text1"/>
          <w:sz w:val="24"/>
          <w:szCs w:val="24"/>
        </w:rPr>
        <w:t>s</w:t>
      </w:r>
      <w:r w:rsidR="003D2A50" w:rsidRPr="00321564">
        <w:rPr>
          <w:rFonts w:ascii="Times New Roman" w:hAnsi="Times New Roman" w:cs="Times New Roman"/>
          <w:color w:val="000000" w:themeColor="text1"/>
          <w:sz w:val="24"/>
          <w:szCs w:val="24"/>
        </w:rPr>
        <w:t xml:space="preserve"> of Rs. </w:t>
      </w:r>
      <w:r w:rsidR="00C83881" w:rsidRPr="00321564">
        <w:rPr>
          <w:rFonts w:ascii="Times New Roman" w:hAnsi="Times New Roman" w:cs="Times New Roman"/>
          <w:color w:val="000000" w:themeColor="text1"/>
          <w:sz w:val="24"/>
          <w:szCs w:val="24"/>
        </w:rPr>
        <w:t>59,106/ha and benefit-cost ratio of 2.43 observed in local varieties/hybrids</w:t>
      </w:r>
      <w:r w:rsidRPr="00321564">
        <w:rPr>
          <w:rFonts w:ascii="Times New Roman" w:hAnsi="Times New Roman" w:cs="Times New Roman"/>
          <w:color w:val="000000" w:themeColor="text1"/>
          <w:sz w:val="24"/>
          <w:szCs w:val="24"/>
        </w:rPr>
        <w:t xml:space="preserve">. The </w:t>
      </w:r>
      <w:r w:rsidR="00D949D2" w:rsidRPr="00321564">
        <w:rPr>
          <w:rFonts w:ascii="Times New Roman" w:hAnsi="Times New Roman" w:cs="Times New Roman"/>
          <w:color w:val="000000" w:themeColor="text1"/>
          <w:sz w:val="24"/>
          <w:szCs w:val="24"/>
        </w:rPr>
        <w:t>highest net returns and benefit-</w:t>
      </w:r>
      <w:r w:rsidRPr="00321564">
        <w:rPr>
          <w:rFonts w:ascii="Times New Roman" w:hAnsi="Times New Roman" w:cs="Times New Roman"/>
          <w:color w:val="000000" w:themeColor="text1"/>
          <w:sz w:val="24"/>
          <w:szCs w:val="24"/>
        </w:rPr>
        <w:t xml:space="preserve">cost ratio in </w:t>
      </w:r>
      <w:r w:rsidR="00D949D2" w:rsidRPr="00321564">
        <w:rPr>
          <w:rFonts w:ascii="Times New Roman" w:hAnsi="Times New Roman" w:cs="Times New Roman"/>
          <w:color w:val="000000" w:themeColor="text1"/>
          <w:sz w:val="24"/>
          <w:szCs w:val="24"/>
        </w:rPr>
        <w:t xml:space="preserve">the </w:t>
      </w:r>
      <w:r w:rsidRPr="00321564">
        <w:rPr>
          <w:rFonts w:ascii="Times New Roman" w:hAnsi="Times New Roman" w:cs="Times New Roman"/>
          <w:color w:val="000000" w:themeColor="text1"/>
          <w:sz w:val="24"/>
          <w:szCs w:val="24"/>
        </w:rPr>
        <w:t xml:space="preserve">NTJ-5 variety is due to </w:t>
      </w:r>
      <w:r w:rsidR="00D949D2" w:rsidRPr="00321564">
        <w:rPr>
          <w:rFonts w:ascii="Times New Roman" w:hAnsi="Times New Roman" w:cs="Times New Roman"/>
          <w:color w:val="000000" w:themeColor="text1"/>
          <w:sz w:val="24"/>
          <w:szCs w:val="24"/>
        </w:rPr>
        <w:t xml:space="preserve">the </w:t>
      </w:r>
      <w:r w:rsidRPr="00321564">
        <w:rPr>
          <w:rFonts w:ascii="Times New Roman" w:hAnsi="Times New Roman" w:cs="Times New Roman"/>
          <w:color w:val="000000" w:themeColor="text1"/>
          <w:sz w:val="24"/>
          <w:szCs w:val="24"/>
        </w:rPr>
        <w:t>lowest</w:t>
      </w:r>
      <w:r w:rsidR="00057613" w:rsidRPr="00321564">
        <w:rPr>
          <w:rFonts w:ascii="Times New Roman" w:hAnsi="Times New Roman" w:cs="Times New Roman"/>
          <w:color w:val="000000" w:themeColor="text1"/>
          <w:sz w:val="24"/>
          <w:szCs w:val="24"/>
        </w:rPr>
        <w:t xml:space="preserve"> incidence of pest</w:t>
      </w:r>
      <w:r w:rsidR="00D949D2" w:rsidRPr="00321564">
        <w:rPr>
          <w:rFonts w:ascii="Times New Roman" w:hAnsi="Times New Roman" w:cs="Times New Roman"/>
          <w:color w:val="000000" w:themeColor="text1"/>
          <w:sz w:val="24"/>
          <w:szCs w:val="24"/>
        </w:rPr>
        <w:t>s</w:t>
      </w:r>
      <w:r w:rsidR="00057613" w:rsidRPr="00321564">
        <w:rPr>
          <w:rFonts w:ascii="Times New Roman" w:hAnsi="Times New Roman" w:cs="Times New Roman"/>
          <w:color w:val="000000" w:themeColor="text1"/>
          <w:sz w:val="24"/>
          <w:szCs w:val="24"/>
        </w:rPr>
        <w:t xml:space="preserve"> and diseases, </w:t>
      </w:r>
      <w:r w:rsidRPr="00321564">
        <w:rPr>
          <w:rFonts w:ascii="Times New Roman" w:hAnsi="Times New Roman" w:cs="Times New Roman"/>
          <w:color w:val="000000" w:themeColor="text1"/>
          <w:sz w:val="24"/>
          <w:szCs w:val="24"/>
        </w:rPr>
        <w:t>drought</w:t>
      </w:r>
      <w:r w:rsidR="00057613" w:rsidRPr="00321564">
        <w:rPr>
          <w:rFonts w:ascii="Times New Roman" w:hAnsi="Times New Roman" w:cs="Times New Roman"/>
          <w:color w:val="000000" w:themeColor="text1"/>
          <w:sz w:val="24"/>
          <w:szCs w:val="24"/>
        </w:rPr>
        <w:t xml:space="preserve"> resistance</w:t>
      </w:r>
      <w:r w:rsidRPr="00321564">
        <w:rPr>
          <w:rFonts w:ascii="Times New Roman" w:hAnsi="Times New Roman" w:cs="Times New Roman"/>
          <w:color w:val="000000" w:themeColor="text1"/>
          <w:sz w:val="24"/>
          <w:szCs w:val="24"/>
        </w:rPr>
        <w:t xml:space="preserve"> and </w:t>
      </w:r>
      <w:r w:rsidR="009E02CB" w:rsidRPr="00321564">
        <w:rPr>
          <w:rFonts w:ascii="Times New Roman" w:hAnsi="Times New Roman" w:cs="Times New Roman"/>
          <w:color w:val="000000" w:themeColor="text1"/>
          <w:sz w:val="24"/>
          <w:szCs w:val="24"/>
        </w:rPr>
        <w:t xml:space="preserve">the </w:t>
      </w:r>
      <w:r w:rsidRPr="00321564">
        <w:rPr>
          <w:rFonts w:ascii="Times New Roman" w:hAnsi="Times New Roman" w:cs="Times New Roman"/>
          <w:color w:val="000000" w:themeColor="text1"/>
          <w:sz w:val="24"/>
          <w:szCs w:val="24"/>
        </w:rPr>
        <w:t xml:space="preserve">highest yields. </w:t>
      </w:r>
    </w:p>
    <w:p w:rsidR="00082D7E" w:rsidRPr="00321564" w:rsidRDefault="00082D7E" w:rsidP="00082D7E">
      <w:pPr>
        <w:spacing w:before="24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Gap analysis</w:t>
      </w:r>
      <w:r w:rsidR="00CC6B06" w:rsidRPr="00321564">
        <w:rPr>
          <w:rFonts w:ascii="Times New Roman" w:hAnsi="Times New Roman" w:cs="Times New Roman"/>
          <w:b/>
          <w:bCs/>
          <w:color w:val="000000" w:themeColor="text1"/>
          <w:sz w:val="24"/>
          <w:szCs w:val="24"/>
        </w:rPr>
        <w:t>:</w:t>
      </w:r>
    </w:p>
    <w:p w:rsidR="00D30AF4" w:rsidRPr="00321564" w:rsidRDefault="00CC6B06" w:rsidP="00321564">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The gap analysis of the white j</w:t>
      </w:r>
      <w:r w:rsidR="00082D7E" w:rsidRPr="00321564">
        <w:rPr>
          <w:rFonts w:ascii="Times New Roman" w:eastAsia="Times New Roman" w:hAnsi="Times New Roman" w:cs="Times New Roman"/>
          <w:color w:val="000000" w:themeColor="text1"/>
          <w:sz w:val="24"/>
          <w:szCs w:val="24"/>
        </w:rPr>
        <w:t>owar variety</w:t>
      </w:r>
      <w:r w:rsidR="00AF56FA" w:rsidRPr="00321564">
        <w:rPr>
          <w:rFonts w:ascii="Times New Roman" w:eastAsia="Times New Roman" w:hAnsi="Times New Roman" w:cs="Times New Roman"/>
          <w:color w:val="000000" w:themeColor="text1"/>
          <w:sz w:val="24"/>
          <w:szCs w:val="24"/>
        </w:rPr>
        <w:t>,</w:t>
      </w:r>
      <w:r w:rsidR="00082D7E" w:rsidRPr="00321564">
        <w:rPr>
          <w:rFonts w:ascii="Times New Roman" w:eastAsia="Times New Roman" w:hAnsi="Times New Roman" w:cs="Times New Roman"/>
          <w:color w:val="000000" w:themeColor="text1"/>
          <w:sz w:val="24"/>
          <w:szCs w:val="24"/>
        </w:rPr>
        <w:t xml:space="preserve"> NTJ-5</w:t>
      </w:r>
      <w:r w:rsidR="009E02CB" w:rsidRPr="00321564">
        <w:rPr>
          <w:rFonts w:ascii="Times New Roman" w:eastAsia="Times New Roman" w:hAnsi="Times New Roman" w:cs="Times New Roman"/>
          <w:color w:val="000000" w:themeColor="text1"/>
          <w:sz w:val="24"/>
          <w:szCs w:val="24"/>
        </w:rPr>
        <w:t>,</w:t>
      </w:r>
      <w:r w:rsidR="00082D7E" w:rsidRPr="00321564">
        <w:rPr>
          <w:rFonts w:ascii="Times New Roman" w:eastAsia="Times New Roman" w:hAnsi="Times New Roman" w:cs="Times New Roman"/>
          <w:color w:val="000000" w:themeColor="text1"/>
          <w:sz w:val="24"/>
          <w:szCs w:val="24"/>
        </w:rPr>
        <w:t xml:space="preserve"> over </w:t>
      </w:r>
      <w:r w:rsidR="00AF56FA" w:rsidRPr="00321564">
        <w:rPr>
          <w:rFonts w:ascii="Times New Roman" w:eastAsia="Times New Roman" w:hAnsi="Times New Roman" w:cs="Times New Roman"/>
          <w:color w:val="000000" w:themeColor="text1"/>
          <w:sz w:val="24"/>
          <w:szCs w:val="24"/>
        </w:rPr>
        <w:t xml:space="preserve">the three </w:t>
      </w:r>
      <w:r w:rsidR="00654642" w:rsidRPr="00321564">
        <w:rPr>
          <w:rFonts w:ascii="Times New Roman" w:eastAsia="Times New Roman" w:hAnsi="Times New Roman" w:cs="Times New Roman"/>
          <w:color w:val="000000" w:themeColor="text1"/>
          <w:sz w:val="24"/>
          <w:szCs w:val="24"/>
        </w:rPr>
        <w:t>year</w:t>
      </w:r>
      <w:r w:rsidR="00AF56FA" w:rsidRPr="00321564">
        <w:rPr>
          <w:rFonts w:ascii="Times New Roman" w:eastAsia="Times New Roman" w:hAnsi="Times New Roman" w:cs="Times New Roman"/>
          <w:color w:val="000000" w:themeColor="text1"/>
          <w:sz w:val="24"/>
          <w:szCs w:val="24"/>
        </w:rPr>
        <w:t>s</w:t>
      </w:r>
      <w:r w:rsidR="00654642" w:rsidRPr="00321564">
        <w:rPr>
          <w:rFonts w:ascii="Times New Roman" w:eastAsia="Times New Roman" w:hAnsi="Times New Roman" w:cs="Times New Roman"/>
          <w:color w:val="000000" w:themeColor="text1"/>
          <w:sz w:val="24"/>
          <w:szCs w:val="24"/>
        </w:rPr>
        <w:t xml:space="preserve"> from 2022-23 to 2024-</w:t>
      </w:r>
      <w:r w:rsidR="00082D7E" w:rsidRPr="00321564">
        <w:rPr>
          <w:rFonts w:ascii="Times New Roman" w:eastAsia="Times New Roman" w:hAnsi="Times New Roman" w:cs="Times New Roman"/>
          <w:color w:val="000000" w:themeColor="text1"/>
          <w:sz w:val="24"/>
          <w:szCs w:val="24"/>
        </w:rPr>
        <w:t xml:space="preserve">25 reveals significant insights into the performance and adoption of the recommended production technology. </w:t>
      </w:r>
      <w:r w:rsidR="00F114FD" w:rsidRPr="00321564">
        <w:rPr>
          <w:rFonts w:ascii="Times New Roman" w:hAnsi="Times New Roman" w:cs="Times New Roman"/>
          <w:color w:val="000000" w:themeColor="text1"/>
          <w:sz w:val="24"/>
          <w:szCs w:val="24"/>
        </w:rPr>
        <w:t>The technology gap, defined as the difference between the potential yield and the yield realized under frontline demonstrations (FLDs), was observed to be 816 kg/ha in</w:t>
      </w:r>
      <w:r w:rsidR="00D370ED" w:rsidRPr="00321564">
        <w:rPr>
          <w:rFonts w:ascii="Times New Roman" w:hAnsi="Times New Roman" w:cs="Times New Roman"/>
          <w:color w:val="000000" w:themeColor="text1"/>
          <w:sz w:val="24"/>
          <w:szCs w:val="24"/>
        </w:rPr>
        <w:t xml:space="preserve"> 2022-23, 992 kg/ha in 2023-24 </w:t>
      </w:r>
      <w:r w:rsidR="00F114FD" w:rsidRPr="00321564">
        <w:rPr>
          <w:rFonts w:ascii="Times New Roman" w:hAnsi="Times New Roman" w:cs="Times New Roman"/>
          <w:color w:val="000000" w:themeColor="text1"/>
          <w:sz w:val="24"/>
          <w:szCs w:val="24"/>
        </w:rPr>
        <w:t>and 1526 kg/ha in 2024-25. The pooled technology gap across the three years was 1111 kg/ha, indicating a considerable difference between the attainable yield and the actual yield achieved under FLD conditions. This gap sugges</w:t>
      </w:r>
      <w:r w:rsidR="00EC7244" w:rsidRPr="00321564">
        <w:rPr>
          <w:rFonts w:ascii="Times New Roman" w:hAnsi="Times New Roman" w:cs="Times New Roman"/>
          <w:color w:val="000000" w:themeColor="text1"/>
          <w:sz w:val="24"/>
          <w:szCs w:val="24"/>
        </w:rPr>
        <w:t>ts that recommended technology</w:t>
      </w:r>
      <w:r w:rsidR="00F114FD" w:rsidRPr="00321564">
        <w:rPr>
          <w:rFonts w:ascii="Times New Roman" w:hAnsi="Times New Roman" w:cs="Times New Roman"/>
          <w:color w:val="000000" w:themeColor="text1"/>
          <w:sz w:val="24"/>
          <w:szCs w:val="24"/>
        </w:rPr>
        <w:t xml:space="preserve"> may not be fully exploited in field conditions due to various constraints such as climatic factors, soil health, or management practices. </w:t>
      </w:r>
      <w:r w:rsidR="00292D2E" w:rsidRPr="00321564">
        <w:rPr>
          <w:rFonts w:ascii="Times New Roman" w:hAnsi="Times New Roman" w:cs="Times New Roman"/>
          <w:color w:val="000000" w:themeColor="text1"/>
          <w:sz w:val="24"/>
          <w:szCs w:val="24"/>
        </w:rPr>
        <w:t>The extension gap, representing the difference between the yield obtained under frontline demonstrations and that realized by farmers under their prevailing practices, was obser</w:t>
      </w:r>
      <w:r w:rsidR="00D370ED" w:rsidRPr="00321564">
        <w:rPr>
          <w:rFonts w:ascii="Times New Roman" w:hAnsi="Times New Roman" w:cs="Times New Roman"/>
          <w:color w:val="000000" w:themeColor="text1"/>
          <w:sz w:val="24"/>
          <w:szCs w:val="24"/>
        </w:rPr>
        <w:t xml:space="preserve">ved to be 327 kg/ha, 753 kg/ha </w:t>
      </w:r>
      <w:r w:rsidR="00292D2E" w:rsidRPr="00321564">
        <w:rPr>
          <w:rFonts w:ascii="Times New Roman" w:hAnsi="Times New Roman" w:cs="Times New Roman"/>
          <w:color w:val="000000" w:themeColor="text1"/>
          <w:sz w:val="24"/>
          <w:szCs w:val="24"/>
        </w:rPr>
        <w:t>and 477 kg/ha dur</w:t>
      </w:r>
      <w:r w:rsidR="00D370ED" w:rsidRPr="00321564">
        <w:rPr>
          <w:rFonts w:ascii="Times New Roman" w:hAnsi="Times New Roman" w:cs="Times New Roman"/>
          <w:color w:val="000000" w:themeColor="text1"/>
          <w:sz w:val="24"/>
          <w:szCs w:val="24"/>
        </w:rPr>
        <w:t xml:space="preserve">ing the years 2022-23, 2023-24 </w:t>
      </w:r>
      <w:r w:rsidR="00292D2E" w:rsidRPr="00321564">
        <w:rPr>
          <w:rFonts w:ascii="Times New Roman" w:hAnsi="Times New Roman" w:cs="Times New Roman"/>
          <w:color w:val="000000" w:themeColor="text1"/>
          <w:sz w:val="24"/>
          <w:szCs w:val="24"/>
        </w:rPr>
        <w:t>and 2024-25, respectively. The pooled extension gap across the study period was calculated to be 519 kg/ha. This observed gap underscores the partial adopt</w:t>
      </w:r>
      <w:r w:rsidR="00EC7244" w:rsidRPr="00321564">
        <w:rPr>
          <w:rFonts w:ascii="Times New Roman" w:hAnsi="Times New Roman" w:cs="Times New Roman"/>
          <w:color w:val="000000" w:themeColor="text1"/>
          <w:sz w:val="24"/>
          <w:szCs w:val="24"/>
        </w:rPr>
        <w:t>ion of demonstrated technology</w:t>
      </w:r>
      <w:r w:rsidR="00292D2E" w:rsidRPr="00321564">
        <w:rPr>
          <w:rFonts w:ascii="Times New Roman" w:hAnsi="Times New Roman" w:cs="Times New Roman"/>
          <w:color w:val="000000" w:themeColor="text1"/>
          <w:sz w:val="24"/>
          <w:szCs w:val="24"/>
        </w:rPr>
        <w:t xml:space="preserve"> by the farming community and reflects the potential for yield enhancement through improved dissemination and adoption of recommended agronomic practices. The findings emphasize the critical role of effective extension strategies in narrowing this gap and ensuring the transfer of technologies to the field level. </w:t>
      </w:r>
      <w:r w:rsidR="00D370ED" w:rsidRPr="00321564">
        <w:rPr>
          <w:rFonts w:ascii="Times New Roman" w:hAnsi="Times New Roman" w:cs="Times New Roman"/>
          <w:color w:val="000000" w:themeColor="text1"/>
          <w:sz w:val="24"/>
          <w:szCs w:val="24"/>
        </w:rPr>
        <w:t>The technology index, which quantifies the feasibility of the demonstrated technology in farmer’s fields, was recorded at 16.32% in 2022-23, 19.84% in 2023-24 and 30.52% in 2024-25, with a pooled average of 22.22%. A lower technology index indicates higher feasibility and effectiveness of the de</w:t>
      </w:r>
      <w:r w:rsidR="00EC7244" w:rsidRPr="00321564">
        <w:rPr>
          <w:rFonts w:ascii="Times New Roman" w:hAnsi="Times New Roman" w:cs="Times New Roman"/>
          <w:color w:val="000000" w:themeColor="text1"/>
          <w:sz w:val="24"/>
          <w:szCs w:val="24"/>
        </w:rPr>
        <w:t>monstrated technology</w:t>
      </w:r>
      <w:r w:rsidR="00D370ED" w:rsidRPr="00321564">
        <w:rPr>
          <w:rFonts w:ascii="Times New Roman" w:hAnsi="Times New Roman" w:cs="Times New Roman"/>
          <w:color w:val="000000" w:themeColor="text1"/>
          <w:sz w:val="24"/>
          <w:szCs w:val="24"/>
        </w:rPr>
        <w:t xml:space="preserve"> under real field conditions. Similar findings were reported by Jayalakshmi </w:t>
      </w:r>
      <w:r w:rsidR="00D370ED" w:rsidRPr="00321564">
        <w:rPr>
          <w:rFonts w:ascii="Times New Roman" w:hAnsi="Times New Roman" w:cs="Times New Roman"/>
          <w:i/>
          <w:iCs/>
          <w:color w:val="000000" w:themeColor="text1"/>
          <w:sz w:val="24"/>
          <w:szCs w:val="24"/>
        </w:rPr>
        <w:t>et al</w:t>
      </w:r>
      <w:r w:rsidR="00D370ED" w:rsidRPr="00321564">
        <w:rPr>
          <w:rFonts w:ascii="Times New Roman" w:hAnsi="Times New Roman" w:cs="Times New Roman"/>
          <w:color w:val="000000" w:themeColor="text1"/>
          <w:sz w:val="24"/>
          <w:szCs w:val="24"/>
        </w:rPr>
        <w:t xml:space="preserve">. </w:t>
      </w:r>
      <w:r w:rsidR="00487D2B">
        <w:rPr>
          <w:rFonts w:ascii="Times New Roman" w:hAnsi="Times New Roman" w:cs="Times New Roman"/>
          <w:color w:val="000000" w:themeColor="text1"/>
          <w:sz w:val="24"/>
          <w:szCs w:val="24"/>
        </w:rPr>
        <w:t xml:space="preserve">(2022) and </w:t>
      </w:r>
      <w:r w:rsidR="00D370ED" w:rsidRPr="00321564">
        <w:rPr>
          <w:rFonts w:ascii="Times New Roman" w:hAnsi="Times New Roman" w:cs="Times New Roman"/>
          <w:color w:val="000000" w:themeColor="text1"/>
          <w:sz w:val="24"/>
          <w:szCs w:val="24"/>
        </w:rPr>
        <w:t xml:space="preserve">Singh </w:t>
      </w:r>
      <w:r w:rsidR="00D370ED" w:rsidRPr="00321564">
        <w:rPr>
          <w:rFonts w:ascii="Times New Roman" w:hAnsi="Times New Roman" w:cs="Times New Roman"/>
          <w:i/>
          <w:iCs/>
          <w:color w:val="000000" w:themeColor="text1"/>
          <w:sz w:val="24"/>
          <w:szCs w:val="24"/>
        </w:rPr>
        <w:t>et al</w:t>
      </w:r>
      <w:r w:rsidR="00D370ED" w:rsidRPr="00321564">
        <w:rPr>
          <w:rFonts w:ascii="Times New Roman" w:hAnsi="Times New Roman" w:cs="Times New Roman"/>
          <w:color w:val="000000" w:themeColor="text1"/>
          <w:sz w:val="24"/>
          <w:szCs w:val="24"/>
        </w:rPr>
        <w:t>. (2020) in chickpea cultivation across different states of India. These results underscore the importance of continued on-farm validation, targeted training programs, timely input supply and improved extension services to enhance the adoption and effectiveness of demonstrated technologies in jowar cultivation.</w:t>
      </w:r>
    </w:p>
    <w:p w:rsidR="002320B9" w:rsidRPr="00321564" w:rsidRDefault="00D30AF4" w:rsidP="002320B9">
      <w:pPr>
        <w:autoSpaceDE w:val="0"/>
        <w:autoSpaceDN w:val="0"/>
        <w:adjustRightInd w:val="0"/>
        <w:spacing w:before="240" w:line="360" w:lineRule="auto"/>
        <w:jc w:val="both"/>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lastRenderedPageBreak/>
        <w:t xml:space="preserve">4. </w:t>
      </w:r>
      <w:r w:rsidR="0064304E" w:rsidRPr="00321564">
        <w:rPr>
          <w:rFonts w:ascii="Times New Roman" w:eastAsiaTheme="minorHAnsi" w:hAnsi="Times New Roman" w:cs="Times New Roman"/>
          <w:b/>
          <w:bCs/>
          <w:color w:val="000000" w:themeColor="text1"/>
          <w:sz w:val="24"/>
          <w:szCs w:val="24"/>
          <w:lang w:eastAsia="en-US"/>
        </w:rPr>
        <w:t>CONCLUSION:</w:t>
      </w:r>
    </w:p>
    <w:p w:rsidR="00D3004D" w:rsidRPr="00321564" w:rsidRDefault="006C7B0B" w:rsidP="00D30AF4">
      <w:pPr>
        <w:autoSpaceDE w:val="0"/>
        <w:autoSpaceDN w:val="0"/>
        <w:adjustRightInd w:val="0"/>
        <w:spacing w:before="240" w:line="360" w:lineRule="auto"/>
        <w:ind w:firstLine="720"/>
        <w:jc w:val="both"/>
        <w:rPr>
          <w:rFonts w:ascii="Times New Roman" w:eastAsiaTheme="minorHAnsi" w:hAnsi="Times New Roman" w:cs="Times New Roman"/>
          <w:b/>
          <w:bCs/>
          <w:color w:val="000000" w:themeColor="text1"/>
          <w:sz w:val="24"/>
          <w:szCs w:val="24"/>
          <w:lang w:eastAsia="en-US"/>
        </w:rPr>
      </w:pPr>
      <w:r w:rsidRPr="00321564">
        <w:rPr>
          <w:rFonts w:ascii="Times New Roman" w:eastAsia="Times New Roman" w:hAnsi="Times New Roman" w:cs="Times New Roman"/>
          <w:color w:val="000000" w:themeColor="text1"/>
          <w:sz w:val="24"/>
          <w:szCs w:val="24"/>
        </w:rPr>
        <w:t>NTJ-5 is a short-statured, n</w:t>
      </w:r>
      <w:r w:rsidR="00CC6B06" w:rsidRPr="00321564">
        <w:rPr>
          <w:rFonts w:ascii="Times New Roman" w:eastAsia="Times New Roman" w:hAnsi="Times New Roman" w:cs="Times New Roman"/>
          <w:color w:val="000000" w:themeColor="text1"/>
          <w:sz w:val="24"/>
          <w:szCs w:val="24"/>
        </w:rPr>
        <w:t>on-lodging, dual-purpose j</w:t>
      </w:r>
      <w:r w:rsidRPr="00321564">
        <w:rPr>
          <w:rFonts w:ascii="Times New Roman" w:eastAsia="Times New Roman" w:hAnsi="Times New Roman" w:cs="Times New Roman"/>
          <w:color w:val="000000" w:themeColor="text1"/>
          <w:sz w:val="24"/>
          <w:szCs w:val="24"/>
        </w:rPr>
        <w:t>owar variety characterized by medium bold grains and moderate tol</w:t>
      </w:r>
      <w:r w:rsidR="006635EE" w:rsidRPr="00321564">
        <w:rPr>
          <w:rFonts w:ascii="Times New Roman" w:eastAsia="Times New Roman" w:hAnsi="Times New Roman" w:cs="Times New Roman"/>
          <w:color w:val="000000" w:themeColor="text1"/>
          <w:sz w:val="24"/>
          <w:szCs w:val="24"/>
        </w:rPr>
        <w:t>erance to shoot fly, stem borer</w:t>
      </w:r>
      <w:r w:rsidRPr="00321564">
        <w:rPr>
          <w:rFonts w:ascii="Times New Roman" w:eastAsia="Times New Roman" w:hAnsi="Times New Roman" w:cs="Times New Roman"/>
          <w:color w:val="000000" w:themeColor="text1"/>
          <w:sz w:val="24"/>
          <w:szCs w:val="24"/>
        </w:rPr>
        <w:t xml:space="preserve"> and blight. The variety matures in approximately 95-105 days and exhibits a yield potential of 4,500-5,000 kg/ha under optimal conditions. The frontline demonstration not only introduced this improved variety but also emphasized the promotion of </w:t>
      </w:r>
      <w:r w:rsidR="00C744B6" w:rsidRPr="00321564">
        <w:rPr>
          <w:rFonts w:ascii="Times New Roman" w:eastAsia="Times New Roman" w:hAnsi="Times New Roman" w:cs="Times New Roman"/>
          <w:color w:val="000000" w:themeColor="text1"/>
          <w:sz w:val="24"/>
          <w:szCs w:val="24"/>
        </w:rPr>
        <w:t xml:space="preserve">a </w:t>
      </w:r>
      <w:r w:rsidRPr="00321564">
        <w:rPr>
          <w:rFonts w:ascii="Times New Roman" w:eastAsia="Times New Roman" w:hAnsi="Times New Roman" w:cs="Times New Roman"/>
          <w:color w:val="000000" w:themeColor="text1"/>
          <w:sz w:val="24"/>
          <w:szCs w:val="24"/>
        </w:rPr>
        <w:t>scientific package of practices. As a result, fields un</w:t>
      </w:r>
      <w:r w:rsidR="006E209F" w:rsidRPr="00321564">
        <w:rPr>
          <w:rFonts w:ascii="Times New Roman" w:eastAsia="Times New Roman" w:hAnsi="Times New Roman" w:cs="Times New Roman"/>
          <w:color w:val="000000" w:themeColor="text1"/>
          <w:sz w:val="24"/>
          <w:szCs w:val="24"/>
        </w:rPr>
        <w:t>der demonstration plots recorded</w:t>
      </w:r>
      <w:r w:rsidRPr="00321564">
        <w:rPr>
          <w:rFonts w:ascii="Times New Roman" w:eastAsia="Times New Roman" w:hAnsi="Times New Roman" w:cs="Times New Roman"/>
          <w:color w:val="000000" w:themeColor="text1"/>
          <w:sz w:val="24"/>
          <w:szCs w:val="24"/>
        </w:rPr>
        <w:t xml:space="preserve"> an average yield of 3,889 kg/ha, which was notably higher than the 3,412 kg/ha observed in farmer practice plots. This translated into a benefit-cost ratio of 3.06 for demonstration plots, compared to 2.43 for traditional practices. </w:t>
      </w:r>
      <w:r w:rsidR="006635EE" w:rsidRPr="00321564">
        <w:rPr>
          <w:rFonts w:ascii="Times New Roman" w:eastAsia="Times New Roman" w:hAnsi="Times New Roman" w:cs="Times New Roman"/>
          <w:color w:val="000000" w:themeColor="text1"/>
          <w:sz w:val="24"/>
          <w:szCs w:val="24"/>
        </w:rPr>
        <w:t xml:space="preserve">The </w:t>
      </w:r>
      <w:r w:rsidR="00CC6B06" w:rsidRPr="00321564">
        <w:rPr>
          <w:rFonts w:ascii="Times New Roman" w:eastAsia="Times New Roman" w:hAnsi="Times New Roman" w:cs="Times New Roman"/>
          <w:color w:val="000000" w:themeColor="text1"/>
          <w:sz w:val="24"/>
          <w:szCs w:val="24"/>
        </w:rPr>
        <w:t>adoption of the improved white j</w:t>
      </w:r>
      <w:r w:rsidR="006635EE" w:rsidRPr="00321564">
        <w:rPr>
          <w:rFonts w:ascii="Times New Roman" w:eastAsia="Times New Roman" w:hAnsi="Times New Roman" w:cs="Times New Roman"/>
          <w:color w:val="000000" w:themeColor="text1"/>
          <w:sz w:val="24"/>
          <w:szCs w:val="24"/>
        </w:rPr>
        <w:t>owar variety</w:t>
      </w:r>
      <w:r w:rsidR="00C744B6" w:rsidRPr="00321564">
        <w:rPr>
          <w:rFonts w:ascii="Times New Roman" w:eastAsia="Times New Roman" w:hAnsi="Times New Roman" w:cs="Times New Roman"/>
          <w:color w:val="000000" w:themeColor="text1"/>
          <w:sz w:val="24"/>
          <w:szCs w:val="24"/>
        </w:rPr>
        <w:t>,</w:t>
      </w:r>
      <w:r w:rsidR="006635EE" w:rsidRPr="00321564">
        <w:rPr>
          <w:rFonts w:ascii="Times New Roman" w:eastAsia="Times New Roman" w:hAnsi="Times New Roman" w:cs="Times New Roman"/>
          <w:color w:val="000000" w:themeColor="text1"/>
          <w:sz w:val="24"/>
          <w:szCs w:val="24"/>
        </w:rPr>
        <w:t xml:space="preserve"> NTJ-5</w:t>
      </w:r>
      <w:r w:rsidR="00C744B6" w:rsidRPr="00321564">
        <w:rPr>
          <w:rFonts w:ascii="Times New Roman" w:eastAsia="Times New Roman" w:hAnsi="Times New Roman" w:cs="Times New Roman"/>
          <w:color w:val="000000" w:themeColor="text1"/>
          <w:sz w:val="24"/>
          <w:szCs w:val="24"/>
        </w:rPr>
        <w:t>,</w:t>
      </w:r>
      <w:r w:rsidR="006635EE" w:rsidRPr="00321564">
        <w:rPr>
          <w:rFonts w:ascii="Times New Roman" w:eastAsia="Times New Roman" w:hAnsi="Times New Roman" w:cs="Times New Roman"/>
          <w:color w:val="000000" w:themeColor="text1"/>
          <w:sz w:val="24"/>
          <w:szCs w:val="24"/>
        </w:rPr>
        <w:t xml:space="preserve"> significantly expanded to 447 hectares over the past three years, demonstrating the effectiveness of the promoted technology. </w:t>
      </w:r>
      <w:r w:rsidRPr="00321564">
        <w:rPr>
          <w:rFonts w:ascii="Times New Roman" w:eastAsia="Times New Roman" w:hAnsi="Times New Roman" w:cs="Times New Roman"/>
          <w:color w:val="000000" w:themeColor="text1"/>
          <w:sz w:val="24"/>
          <w:szCs w:val="24"/>
        </w:rPr>
        <w:t xml:space="preserve">The technology has had a substantial impact on the farming community, leading to the horizontal spread of the variety and </w:t>
      </w:r>
      <w:r w:rsidR="00C744B6" w:rsidRPr="00321564">
        <w:rPr>
          <w:rFonts w:ascii="Times New Roman" w:eastAsia="Times New Roman" w:hAnsi="Times New Roman" w:cs="Times New Roman"/>
          <w:color w:val="000000" w:themeColor="text1"/>
          <w:sz w:val="24"/>
          <w:szCs w:val="24"/>
        </w:rPr>
        <w:t xml:space="preserve">the adoption of </w:t>
      </w:r>
      <w:r w:rsidRPr="00321564">
        <w:rPr>
          <w:rFonts w:ascii="Times New Roman" w:eastAsia="Times New Roman" w:hAnsi="Times New Roman" w:cs="Times New Roman"/>
          <w:color w:val="000000" w:themeColor="text1"/>
          <w:sz w:val="24"/>
          <w:szCs w:val="24"/>
        </w:rPr>
        <w:t>improved practices. These results highlight the positive influence of frontline demonstrations on enhancing farmer’s knowledge and accelerating the adoption of improved agricultural technologies.</w:t>
      </w:r>
    </w:p>
    <w:p w:rsidR="00F74B4D" w:rsidRPr="00321564" w:rsidRDefault="00F74B4D" w:rsidP="00F74B4D">
      <w:pPr>
        <w:spacing w:before="240" w:line="36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Table 1: Rainfall particulars of SPSR Nellore district in</w:t>
      </w:r>
      <w:r w:rsidR="00BD62B6" w:rsidRPr="00321564">
        <w:rPr>
          <w:rFonts w:ascii="Times New Roman" w:eastAsiaTheme="minorHAnsi" w:hAnsi="Times New Roman" w:cs="Times New Roman"/>
          <w:b/>
          <w:bCs/>
          <w:color w:val="000000" w:themeColor="text1"/>
          <w:sz w:val="24"/>
          <w:szCs w:val="24"/>
          <w:lang w:eastAsia="en-US"/>
        </w:rPr>
        <w:t xml:space="preserve"> 2022-23,</w:t>
      </w:r>
      <w:r w:rsidRPr="00321564">
        <w:rPr>
          <w:rFonts w:ascii="Times New Roman" w:eastAsiaTheme="minorHAnsi" w:hAnsi="Times New Roman" w:cs="Times New Roman"/>
          <w:b/>
          <w:bCs/>
          <w:color w:val="000000" w:themeColor="text1"/>
          <w:sz w:val="24"/>
          <w:szCs w:val="24"/>
          <w:lang w:eastAsia="en-US"/>
        </w:rPr>
        <w:t xml:space="preserve"> 2023-24 and 2024-25</w:t>
      </w:r>
    </w:p>
    <w:tbl>
      <w:tblPr>
        <w:tblStyle w:val="TableGrid"/>
        <w:tblW w:w="9070" w:type="dxa"/>
        <w:jc w:val="center"/>
        <w:tblLayout w:type="fixed"/>
        <w:tblLook w:val="04A0" w:firstRow="1" w:lastRow="0" w:firstColumn="1" w:lastColumn="0" w:noHBand="0" w:noVBand="1"/>
      </w:tblPr>
      <w:tblGrid>
        <w:gridCol w:w="1408"/>
        <w:gridCol w:w="1278"/>
        <w:gridCol w:w="1281"/>
        <w:gridCol w:w="1274"/>
        <w:gridCol w:w="1280"/>
        <w:gridCol w:w="1132"/>
        <w:gridCol w:w="1417"/>
      </w:tblGrid>
      <w:tr w:rsidR="009E02CB" w:rsidRPr="00321564" w:rsidTr="00E4372B">
        <w:trPr>
          <w:jc w:val="center"/>
        </w:trPr>
        <w:tc>
          <w:tcPr>
            <w:tcW w:w="1408" w:type="dxa"/>
            <w:vMerge w:val="restart"/>
            <w:vAlign w:val="center"/>
          </w:tcPr>
          <w:p w:rsidR="00E4372B" w:rsidRPr="00321564" w:rsidRDefault="00E4372B" w:rsidP="00275F88">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Month</w:t>
            </w:r>
          </w:p>
        </w:tc>
        <w:tc>
          <w:tcPr>
            <w:tcW w:w="2559" w:type="dxa"/>
            <w:gridSpan w:val="2"/>
            <w:vAlign w:val="center"/>
          </w:tcPr>
          <w:p w:rsidR="00E4372B" w:rsidRPr="00321564" w:rsidRDefault="00E4372B" w:rsidP="00275F88">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2022-23</w:t>
            </w:r>
          </w:p>
        </w:tc>
        <w:tc>
          <w:tcPr>
            <w:tcW w:w="2554" w:type="dxa"/>
            <w:gridSpan w:val="2"/>
            <w:vAlign w:val="center"/>
          </w:tcPr>
          <w:p w:rsidR="00E4372B" w:rsidRPr="00321564" w:rsidRDefault="00E4372B" w:rsidP="00275F88">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2023-24</w:t>
            </w:r>
          </w:p>
        </w:tc>
        <w:tc>
          <w:tcPr>
            <w:tcW w:w="2549" w:type="dxa"/>
            <w:gridSpan w:val="2"/>
            <w:vAlign w:val="center"/>
          </w:tcPr>
          <w:p w:rsidR="00E4372B" w:rsidRPr="00321564" w:rsidRDefault="00E4372B" w:rsidP="00275F88">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2024-25</w:t>
            </w:r>
          </w:p>
        </w:tc>
      </w:tr>
      <w:tr w:rsidR="009E02CB" w:rsidRPr="00321564" w:rsidTr="00E4372B">
        <w:trPr>
          <w:jc w:val="center"/>
        </w:trPr>
        <w:tc>
          <w:tcPr>
            <w:tcW w:w="1408" w:type="dxa"/>
            <w:vMerge/>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p>
        </w:tc>
        <w:tc>
          <w:tcPr>
            <w:tcW w:w="1278"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Actual</w:t>
            </w:r>
          </w:p>
        </w:tc>
        <w:tc>
          <w:tcPr>
            <w:tcW w:w="1281"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Deviation</w:t>
            </w:r>
          </w:p>
        </w:tc>
        <w:tc>
          <w:tcPr>
            <w:tcW w:w="1274"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Actual</w:t>
            </w:r>
          </w:p>
        </w:tc>
        <w:tc>
          <w:tcPr>
            <w:tcW w:w="1280"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Deviation</w:t>
            </w:r>
          </w:p>
        </w:tc>
        <w:tc>
          <w:tcPr>
            <w:tcW w:w="1132"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Actual</w:t>
            </w:r>
          </w:p>
        </w:tc>
        <w:tc>
          <w:tcPr>
            <w:tcW w:w="1417" w:type="dxa"/>
            <w:vAlign w:val="center"/>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Deviation</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June</w:t>
            </w:r>
          </w:p>
        </w:tc>
        <w:tc>
          <w:tcPr>
            <w:tcW w:w="1278"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73.1</w:t>
            </w:r>
          </w:p>
        </w:tc>
        <w:tc>
          <w:tcPr>
            <w:tcW w:w="1281"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44.8</w:t>
            </w:r>
          </w:p>
        </w:tc>
        <w:tc>
          <w:tcPr>
            <w:tcW w:w="1274"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19.2</w:t>
            </w:r>
          </w:p>
        </w:tc>
        <w:tc>
          <w:tcPr>
            <w:tcW w:w="1280"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-63</w:t>
            </w:r>
          </w:p>
        </w:tc>
        <w:tc>
          <w:tcPr>
            <w:tcW w:w="1132"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71.1</w:t>
            </w:r>
          </w:p>
        </w:tc>
        <w:tc>
          <w:tcPr>
            <w:tcW w:w="1417"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37</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July</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119.6</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50.6</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81.5</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0</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125.9</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54</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August</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88.9</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9.6</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34.1</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-59</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44.4</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-47</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September</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59.5</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-41.2</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83.3</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-20</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74.9</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-28</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October</w:t>
            </w:r>
          </w:p>
        </w:tc>
        <w:tc>
          <w:tcPr>
            <w:tcW w:w="1278"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83.4</w:t>
            </w:r>
          </w:p>
        </w:tc>
        <w:tc>
          <w:tcPr>
            <w:tcW w:w="1281"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-65.6</w:t>
            </w:r>
          </w:p>
        </w:tc>
        <w:tc>
          <w:tcPr>
            <w:tcW w:w="1274"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20.6</w:t>
            </w:r>
          </w:p>
        </w:tc>
        <w:tc>
          <w:tcPr>
            <w:tcW w:w="1280"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-92</w:t>
            </w:r>
          </w:p>
        </w:tc>
        <w:tc>
          <w:tcPr>
            <w:tcW w:w="1132"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347.9</w:t>
            </w:r>
          </w:p>
        </w:tc>
        <w:tc>
          <w:tcPr>
            <w:tcW w:w="1417"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40</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November</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313.2</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8.9</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258.1</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-13</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193.2</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-35.1</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December</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263.4</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174.7</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297.4</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200</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202.6</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104.4</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January</w:t>
            </w:r>
          </w:p>
        </w:tc>
        <w:tc>
          <w:tcPr>
            <w:tcW w:w="1278"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2.2</w:t>
            </w:r>
          </w:p>
        </w:tc>
        <w:tc>
          <w:tcPr>
            <w:tcW w:w="1281"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-82.0</w:t>
            </w:r>
          </w:p>
        </w:tc>
        <w:tc>
          <w:tcPr>
            <w:tcW w:w="1274"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eastAsia="Times New Roman" w:hAnsi="Times New Roman" w:cs="Times New Roman"/>
                <w:color w:val="000000" w:themeColor="text1"/>
                <w:sz w:val="24"/>
                <w:szCs w:val="24"/>
              </w:rPr>
              <w:t>0.3</w:t>
            </w:r>
          </w:p>
        </w:tc>
        <w:tc>
          <w:tcPr>
            <w:tcW w:w="1280"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-97</w:t>
            </w:r>
          </w:p>
        </w:tc>
        <w:tc>
          <w:tcPr>
            <w:tcW w:w="1132"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w:t>
            </w:r>
          </w:p>
        </w:tc>
        <w:tc>
          <w:tcPr>
            <w:tcW w:w="1417" w:type="dxa"/>
            <w:vAlign w:val="center"/>
          </w:tcPr>
          <w:p w:rsidR="00E4372B" w:rsidRPr="00321564" w:rsidRDefault="00E4372B" w:rsidP="00F74B4D">
            <w:pPr>
              <w:spacing w:after="0" w:line="240" w:lineRule="auto"/>
              <w:jc w:val="center"/>
              <w:rPr>
                <w:rFonts w:ascii="Times New Roman" w:eastAsia="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40</w:t>
            </w:r>
          </w:p>
        </w:tc>
      </w:tr>
      <w:tr w:rsidR="009E02CB" w:rsidRPr="00321564" w:rsidTr="00E4372B">
        <w:trPr>
          <w:jc w:val="center"/>
        </w:trPr>
        <w:tc>
          <w:tcPr>
            <w:tcW w:w="1408" w:type="dxa"/>
          </w:tcPr>
          <w:p w:rsidR="00E4372B" w:rsidRPr="00321564" w:rsidRDefault="00E4372B" w:rsidP="00F74B4D">
            <w:pPr>
              <w:spacing w:after="0" w:line="240" w:lineRule="auto"/>
              <w:rPr>
                <w:rFonts w:ascii="Times New Roman" w:eastAsiaTheme="minorHAnsi" w:hAnsi="Times New Roman" w:cs="Times New Roman"/>
                <w:color w:val="000000" w:themeColor="text1"/>
                <w:sz w:val="24"/>
                <w:szCs w:val="24"/>
                <w:lang w:eastAsia="en-US"/>
              </w:rPr>
            </w:pPr>
            <w:r w:rsidRPr="00321564">
              <w:rPr>
                <w:rFonts w:ascii="Times New Roman" w:eastAsiaTheme="minorHAnsi" w:hAnsi="Times New Roman" w:cs="Times New Roman"/>
                <w:color w:val="000000" w:themeColor="text1"/>
                <w:sz w:val="24"/>
                <w:szCs w:val="24"/>
                <w:lang w:eastAsia="en-US"/>
              </w:rPr>
              <w:t>February</w:t>
            </w:r>
          </w:p>
        </w:tc>
        <w:tc>
          <w:tcPr>
            <w:tcW w:w="1278"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0.0</w:t>
            </w:r>
          </w:p>
        </w:tc>
        <w:tc>
          <w:tcPr>
            <w:tcW w:w="1281"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-100.0</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0.0</w:t>
            </w:r>
          </w:p>
        </w:tc>
        <w:tc>
          <w:tcPr>
            <w:tcW w:w="1280"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-100</w:t>
            </w:r>
          </w:p>
        </w:tc>
        <w:tc>
          <w:tcPr>
            <w:tcW w:w="1132"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0.0</w:t>
            </w:r>
          </w:p>
        </w:tc>
        <w:tc>
          <w:tcPr>
            <w:tcW w:w="1417"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-35.1</w:t>
            </w:r>
          </w:p>
        </w:tc>
      </w:tr>
      <w:tr w:rsidR="009E02CB" w:rsidRPr="00321564" w:rsidTr="00E4372B">
        <w:trPr>
          <w:jc w:val="center"/>
        </w:trPr>
        <w:tc>
          <w:tcPr>
            <w:tcW w:w="1408" w:type="dxa"/>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Total</w:t>
            </w:r>
          </w:p>
        </w:tc>
        <w:tc>
          <w:tcPr>
            <w:tcW w:w="1278" w:type="dxa"/>
            <w:vAlign w:val="center"/>
          </w:tcPr>
          <w:p w:rsidR="00E4372B" w:rsidRPr="00321564" w:rsidRDefault="00E4372B" w:rsidP="00F74B4D">
            <w:pPr>
              <w:spacing w:after="0" w:line="24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1003.3</w:t>
            </w:r>
          </w:p>
        </w:tc>
        <w:tc>
          <w:tcPr>
            <w:tcW w:w="1281" w:type="dxa"/>
            <w:vAlign w:val="center"/>
          </w:tcPr>
          <w:p w:rsidR="00E4372B" w:rsidRPr="00321564" w:rsidRDefault="00E4372B" w:rsidP="00F74B4D">
            <w:pPr>
              <w:spacing w:after="0" w:line="24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-0.2</w:t>
            </w:r>
          </w:p>
        </w:tc>
        <w:tc>
          <w:tcPr>
            <w:tcW w:w="1274" w:type="dxa"/>
            <w:vAlign w:val="center"/>
          </w:tcPr>
          <w:p w:rsidR="00E4372B" w:rsidRPr="00321564" w:rsidRDefault="00E4372B" w:rsidP="00F74B4D">
            <w:pPr>
              <w:spacing w:after="0" w:line="24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794.4</w:t>
            </w:r>
          </w:p>
        </w:tc>
        <w:tc>
          <w:tcPr>
            <w:tcW w:w="1280" w:type="dxa"/>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-19</w:t>
            </w:r>
          </w:p>
        </w:tc>
        <w:tc>
          <w:tcPr>
            <w:tcW w:w="1132" w:type="dxa"/>
            <w:vAlign w:val="center"/>
          </w:tcPr>
          <w:p w:rsidR="00E4372B" w:rsidRPr="00321564" w:rsidRDefault="00E4372B" w:rsidP="00F74B4D">
            <w:pPr>
              <w:spacing w:after="0" w:line="24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1066.5</w:t>
            </w:r>
          </w:p>
        </w:tc>
        <w:tc>
          <w:tcPr>
            <w:tcW w:w="1417" w:type="dxa"/>
          </w:tcPr>
          <w:p w:rsidR="00E4372B" w:rsidRPr="00321564" w:rsidRDefault="00E4372B" w:rsidP="00F74B4D">
            <w:pPr>
              <w:spacing w:after="0" w:line="240" w:lineRule="auto"/>
              <w:jc w:val="center"/>
              <w:rPr>
                <w:rFonts w:ascii="Times New Roman" w:eastAsiaTheme="minorHAnsi" w:hAnsi="Times New Roman" w:cs="Times New Roman"/>
                <w:b/>
                <w:bCs/>
                <w:color w:val="000000" w:themeColor="text1"/>
                <w:sz w:val="24"/>
                <w:szCs w:val="24"/>
                <w:lang w:eastAsia="en-US"/>
              </w:rPr>
            </w:pPr>
            <w:r w:rsidRPr="00321564">
              <w:rPr>
                <w:rFonts w:ascii="Times New Roman" w:eastAsiaTheme="minorHAnsi" w:hAnsi="Times New Roman" w:cs="Times New Roman"/>
                <w:b/>
                <w:bCs/>
                <w:color w:val="000000" w:themeColor="text1"/>
                <w:sz w:val="24"/>
                <w:szCs w:val="24"/>
                <w:lang w:eastAsia="en-US"/>
              </w:rPr>
              <w:t>7.3</w:t>
            </w:r>
          </w:p>
        </w:tc>
      </w:tr>
    </w:tbl>
    <w:p w:rsidR="00DB0DAE" w:rsidRPr="00321564" w:rsidRDefault="00DB0DAE" w:rsidP="006C7B0B">
      <w:pPr>
        <w:spacing w:before="240" w:line="360" w:lineRule="auto"/>
        <w:jc w:val="both"/>
        <w:rPr>
          <w:rFonts w:ascii="Times New Roman" w:hAnsi="Times New Roman" w:cs="Times New Roman"/>
          <w:color w:val="000000" w:themeColor="text1"/>
          <w:sz w:val="24"/>
          <w:szCs w:val="24"/>
        </w:rPr>
        <w:sectPr w:rsidR="00DB0DAE" w:rsidRPr="00321564" w:rsidSect="00DB0DAE">
          <w:pgSz w:w="11906" w:h="16838" w:code="9"/>
          <w:pgMar w:top="567" w:right="567" w:bottom="567" w:left="567" w:header="709" w:footer="709" w:gutter="0"/>
          <w:cols w:space="708"/>
          <w:docGrid w:linePitch="360"/>
        </w:sectPr>
      </w:pPr>
    </w:p>
    <w:p w:rsidR="00321564" w:rsidRDefault="00321564" w:rsidP="009243AF">
      <w:pPr>
        <w:spacing w:before="240" w:line="360" w:lineRule="auto"/>
        <w:rPr>
          <w:rFonts w:ascii="Times New Roman" w:hAnsi="Times New Roman" w:cs="Times New Roman"/>
          <w:b/>
          <w:bCs/>
          <w:color w:val="000000" w:themeColor="text1"/>
          <w:sz w:val="24"/>
          <w:szCs w:val="24"/>
        </w:rPr>
        <w:sectPr w:rsidR="00321564" w:rsidSect="00DB0DAE">
          <w:pgSz w:w="11906" w:h="16838" w:code="9"/>
          <w:pgMar w:top="567" w:right="567" w:bottom="567" w:left="567" w:header="709" w:footer="709" w:gutter="0"/>
          <w:cols w:space="708"/>
          <w:docGrid w:linePitch="360"/>
        </w:sectPr>
      </w:pPr>
    </w:p>
    <w:p w:rsidR="003933A2" w:rsidRPr="00321564" w:rsidRDefault="00F74B4D" w:rsidP="003933A2">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lastRenderedPageBreak/>
        <w:t>Table 2</w:t>
      </w:r>
      <w:r w:rsidR="003933A2" w:rsidRPr="00321564">
        <w:rPr>
          <w:rFonts w:ascii="Times New Roman" w:hAnsi="Times New Roman" w:cs="Times New Roman"/>
          <w:b/>
          <w:bCs/>
          <w:color w:val="000000" w:themeColor="text1"/>
          <w:sz w:val="24"/>
          <w:szCs w:val="24"/>
        </w:rPr>
        <w:t xml:space="preserve">: </w:t>
      </w:r>
      <w:r w:rsidR="00D322E7" w:rsidRPr="00321564">
        <w:rPr>
          <w:rFonts w:ascii="Times New Roman" w:hAnsi="Times New Roman" w:cs="Times New Roman"/>
          <w:b/>
          <w:bCs/>
          <w:color w:val="000000" w:themeColor="text1"/>
          <w:sz w:val="24"/>
          <w:szCs w:val="24"/>
        </w:rPr>
        <w:t xml:space="preserve">Agronomic </w:t>
      </w:r>
      <w:r w:rsidR="003933A2" w:rsidRPr="00321564">
        <w:rPr>
          <w:rFonts w:ascii="Times New Roman" w:hAnsi="Times New Roman" w:cs="Times New Roman"/>
          <w:b/>
          <w:bCs/>
          <w:color w:val="000000" w:themeColor="text1"/>
          <w:sz w:val="24"/>
          <w:szCs w:val="24"/>
        </w:rPr>
        <w:t>Performance of White Jowar Variety NTJ-5 in 2022-23, 2023-24, 2024-25 and pooled</w:t>
      </w:r>
    </w:p>
    <w:tbl>
      <w:tblPr>
        <w:tblStyle w:val="TableGrid"/>
        <w:tblW w:w="0" w:type="auto"/>
        <w:tblLayout w:type="fixed"/>
        <w:tblLook w:val="04A0" w:firstRow="1" w:lastRow="0" w:firstColumn="1" w:lastColumn="0" w:noHBand="0" w:noVBand="1"/>
      </w:tblPr>
      <w:tblGrid>
        <w:gridCol w:w="1951"/>
        <w:gridCol w:w="873"/>
        <w:gridCol w:w="873"/>
        <w:gridCol w:w="873"/>
        <w:gridCol w:w="873"/>
        <w:gridCol w:w="873"/>
        <w:gridCol w:w="873"/>
        <w:gridCol w:w="873"/>
        <w:gridCol w:w="873"/>
        <w:gridCol w:w="873"/>
        <w:gridCol w:w="873"/>
        <w:gridCol w:w="873"/>
        <w:gridCol w:w="873"/>
        <w:gridCol w:w="873"/>
        <w:gridCol w:w="873"/>
        <w:gridCol w:w="873"/>
        <w:gridCol w:w="874"/>
      </w:tblGrid>
      <w:tr w:rsidR="009E02CB" w:rsidRPr="00321564" w:rsidTr="00A45E46">
        <w:trPr>
          <w:trHeight w:val="64"/>
        </w:trPr>
        <w:tc>
          <w:tcPr>
            <w:tcW w:w="1951" w:type="dxa"/>
            <w:vMerge w:val="restart"/>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Particulars</w:t>
            </w:r>
          </w:p>
        </w:tc>
        <w:tc>
          <w:tcPr>
            <w:tcW w:w="3492" w:type="dxa"/>
            <w:gridSpan w:val="4"/>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Plant height (cm)</w:t>
            </w:r>
          </w:p>
        </w:tc>
        <w:tc>
          <w:tcPr>
            <w:tcW w:w="3492" w:type="dxa"/>
            <w:gridSpan w:val="4"/>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Panicle length (cm)</w:t>
            </w:r>
          </w:p>
        </w:tc>
        <w:tc>
          <w:tcPr>
            <w:tcW w:w="3492" w:type="dxa"/>
            <w:gridSpan w:val="4"/>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Test weight (g)</w:t>
            </w:r>
          </w:p>
        </w:tc>
        <w:tc>
          <w:tcPr>
            <w:tcW w:w="3493" w:type="dxa"/>
            <w:gridSpan w:val="4"/>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 xml:space="preserve">Grain </w:t>
            </w:r>
            <w:r w:rsidR="00D02B16" w:rsidRPr="00321564">
              <w:rPr>
                <w:rFonts w:ascii="Times New Roman" w:hAnsi="Times New Roman" w:cs="Times New Roman"/>
                <w:b/>
                <w:bCs/>
                <w:color w:val="000000" w:themeColor="text1"/>
                <w:sz w:val="24"/>
                <w:szCs w:val="24"/>
              </w:rPr>
              <w:t>yield (kg/</w:t>
            </w:r>
            <w:r w:rsidRPr="00321564">
              <w:rPr>
                <w:rFonts w:ascii="Times New Roman" w:hAnsi="Times New Roman" w:cs="Times New Roman"/>
                <w:b/>
                <w:bCs/>
                <w:color w:val="000000" w:themeColor="text1"/>
                <w:sz w:val="24"/>
                <w:szCs w:val="24"/>
              </w:rPr>
              <w:t>ha)</w:t>
            </w:r>
          </w:p>
        </w:tc>
      </w:tr>
      <w:tr w:rsidR="009E02CB" w:rsidRPr="00321564" w:rsidTr="00A45E46">
        <w:trPr>
          <w:trHeight w:val="64"/>
        </w:trPr>
        <w:tc>
          <w:tcPr>
            <w:tcW w:w="1951" w:type="dxa"/>
            <w:vMerge/>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4" w:type="dxa"/>
            <w:vAlign w:val="center"/>
          </w:tcPr>
          <w:p w:rsidR="003933A2" w:rsidRPr="00321564" w:rsidRDefault="003933A2"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r>
      <w:tr w:rsidR="009E02CB" w:rsidRPr="00321564" w:rsidTr="00A45E46">
        <w:trPr>
          <w:trHeight w:val="64"/>
        </w:trPr>
        <w:tc>
          <w:tcPr>
            <w:tcW w:w="1951" w:type="dxa"/>
            <w:vAlign w:val="center"/>
          </w:tcPr>
          <w:p w:rsidR="003933A2" w:rsidRPr="00321564" w:rsidRDefault="003933A2"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NTJ-5</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143.3</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135.4</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135.1</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137.9</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28.8</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27.7</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25.5</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27.3</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34.8</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34.7</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31.2</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33.6</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4184</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4008</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3474</w:t>
            </w:r>
          </w:p>
        </w:tc>
        <w:tc>
          <w:tcPr>
            <w:tcW w:w="874"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3889</w:t>
            </w:r>
          </w:p>
        </w:tc>
      </w:tr>
      <w:tr w:rsidR="009E02CB" w:rsidRPr="00321564" w:rsidTr="00A45E46">
        <w:trPr>
          <w:trHeight w:val="64"/>
        </w:trPr>
        <w:tc>
          <w:tcPr>
            <w:tcW w:w="1951" w:type="dxa"/>
            <w:vAlign w:val="center"/>
          </w:tcPr>
          <w:p w:rsidR="003933A2" w:rsidRPr="00321564" w:rsidRDefault="003933A2"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Local variety/hybrid</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198.1</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187.6</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184.2</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190.0</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25.8</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24.2</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22.8</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24.3</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32.5</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29.9</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29.7</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30.7</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3857</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3255</w:t>
            </w:r>
          </w:p>
        </w:tc>
        <w:tc>
          <w:tcPr>
            <w:tcW w:w="873"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3125</w:t>
            </w:r>
          </w:p>
        </w:tc>
        <w:tc>
          <w:tcPr>
            <w:tcW w:w="874" w:type="dxa"/>
            <w:vAlign w:val="center"/>
          </w:tcPr>
          <w:p w:rsidR="003933A2" w:rsidRPr="00321564" w:rsidRDefault="003F68A1"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3412</w:t>
            </w:r>
          </w:p>
        </w:tc>
      </w:tr>
    </w:tbl>
    <w:p w:rsidR="003F68A1" w:rsidRPr="00321564" w:rsidRDefault="00F74B4D" w:rsidP="00A45E46">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Table 3</w:t>
      </w:r>
      <w:r w:rsidR="00584A07" w:rsidRPr="00321564">
        <w:rPr>
          <w:rFonts w:ascii="Times New Roman" w:hAnsi="Times New Roman" w:cs="Times New Roman"/>
          <w:b/>
          <w:bCs/>
          <w:color w:val="000000" w:themeColor="text1"/>
          <w:sz w:val="24"/>
          <w:szCs w:val="24"/>
        </w:rPr>
        <w:t>: Economics</w:t>
      </w:r>
      <w:r w:rsidR="003F68A1" w:rsidRPr="00321564">
        <w:rPr>
          <w:rFonts w:ascii="Times New Roman" w:hAnsi="Times New Roman" w:cs="Times New Roman"/>
          <w:b/>
          <w:bCs/>
          <w:color w:val="000000" w:themeColor="text1"/>
          <w:sz w:val="24"/>
          <w:szCs w:val="24"/>
        </w:rPr>
        <w:t xml:space="preserve"> </w:t>
      </w:r>
      <w:r w:rsidR="00D322E7" w:rsidRPr="00321564">
        <w:rPr>
          <w:rFonts w:ascii="Times New Roman" w:hAnsi="Times New Roman" w:cs="Times New Roman"/>
          <w:b/>
          <w:bCs/>
          <w:color w:val="000000" w:themeColor="text1"/>
          <w:sz w:val="24"/>
          <w:szCs w:val="24"/>
        </w:rPr>
        <w:t xml:space="preserve">Analysis </w:t>
      </w:r>
      <w:r w:rsidR="003F68A1" w:rsidRPr="00321564">
        <w:rPr>
          <w:rFonts w:ascii="Times New Roman" w:hAnsi="Times New Roman" w:cs="Times New Roman"/>
          <w:b/>
          <w:bCs/>
          <w:color w:val="000000" w:themeColor="text1"/>
          <w:sz w:val="24"/>
          <w:szCs w:val="24"/>
        </w:rPr>
        <w:t>of White Jowar Variety NTJ-5 in 2022-23, 2023-24, 2024-25 and pooled</w:t>
      </w:r>
    </w:p>
    <w:tbl>
      <w:tblPr>
        <w:tblStyle w:val="TableGrid"/>
        <w:tblW w:w="0" w:type="auto"/>
        <w:tblLayout w:type="fixed"/>
        <w:tblLook w:val="04A0" w:firstRow="1" w:lastRow="0" w:firstColumn="1" w:lastColumn="0" w:noHBand="0" w:noVBand="1"/>
      </w:tblPr>
      <w:tblGrid>
        <w:gridCol w:w="1951"/>
        <w:gridCol w:w="873"/>
        <w:gridCol w:w="873"/>
        <w:gridCol w:w="873"/>
        <w:gridCol w:w="873"/>
        <w:gridCol w:w="873"/>
        <w:gridCol w:w="873"/>
        <w:gridCol w:w="873"/>
        <w:gridCol w:w="873"/>
        <w:gridCol w:w="873"/>
        <w:gridCol w:w="873"/>
        <w:gridCol w:w="873"/>
        <w:gridCol w:w="873"/>
        <w:gridCol w:w="873"/>
        <w:gridCol w:w="873"/>
        <w:gridCol w:w="873"/>
        <w:gridCol w:w="874"/>
      </w:tblGrid>
      <w:tr w:rsidR="009E02CB" w:rsidRPr="00321564" w:rsidTr="00A45E46">
        <w:trPr>
          <w:trHeight w:val="64"/>
        </w:trPr>
        <w:tc>
          <w:tcPr>
            <w:tcW w:w="1951" w:type="dxa"/>
            <w:vMerge w:val="restart"/>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Particulars</w:t>
            </w:r>
          </w:p>
        </w:tc>
        <w:tc>
          <w:tcPr>
            <w:tcW w:w="3492" w:type="dxa"/>
            <w:gridSpan w:val="4"/>
            <w:vAlign w:val="center"/>
          </w:tcPr>
          <w:p w:rsidR="003F68A1" w:rsidRPr="00321564" w:rsidRDefault="00D02B16"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Cost of cultivation (Rs./</w:t>
            </w:r>
            <w:r w:rsidR="001E7CCA" w:rsidRPr="00321564">
              <w:rPr>
                <w:rFonts w:ascii="Times New Roman" w:hAnsi="Times New Roman" w:cs="Times New Roman"/>
                <w:b/>
                <w:bCs/>
                <w:color w:val="000000" w:themeColor="text1"/>
                <w:sz w:val="24"/>
                <w:szCs w:val="24"/>
              </w:rPr>
              <w:t>ha</w:t>
            </w:r>
            <w:r w:rsidR="003F68A1" w:rsidRPr="00321564">
              <w:rPr>
                <w:rFonts w:ascii="Times New Roman" w:hAnsi="Times New Roman" w:cs="Times New Roman"/>
                <w:b/>
                <w:bCs/>
                <w:color w:val="000000" w:themeColor="text1"/>
                <w:sz w:val="24"/>
                <w:szCs w:val="24"/>
              </w:rPr>
              <w:t>)</w:t>
            </w:r>
          </w:p>
        </w:tc>
        <w:tc>
          <w:tcPr>
            <w:tcW w:w="3492" w:type="dxa"/>
            <w:gridSpan w:val="4"/>
            <w:vAlign w:val="center"/>
          </w:tcPr>
          <w:p w:rsidR="003F68A1" w:rsidRPr="00321564" w:rsidRDefault="001E7CCA"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 xml:space="preserve">Gross returns </w:t>
            </w:r>
            <w:r w:rsidR="00D02B16" w:rsidRPr="00321564">
              <w:rPr>
                <w:rFonts w:ascii="Times New Roman" w:hAnsi="Times New Roman" w:cs="Times New Roman"/>
                <w:b/>
                <w:bCs/>
                <w:color w:val="000000" w:themeColor="text1"/>
                <w:sz w:val="24"/>
                <w:szCs w:val="24"/>
              </w:rPr>
              <w:t>(Rs./</w:t>
            </w:r>
            <w:r w:rsidRPr="00321564">
              <w:rPr>
                <w:rFonts w:ascii="Times New Roman" w:hAnsi="Times New Roman" w:cs="Times New Roman"/>
                <w:b/>
                <w:bCs/>
                <w:color w:val="000000" w:themeColor="text1"/>
                <w:sz w:val="24"/>
                <w:szCs w:val="24"/>
              </w:rPr>
              <w:t>ha</w:t>
            </w:r>
            <w:r w:rsidR="003F68A1" w:rsidRPr="00321564">
              <w:rPr>
                <w:rFonts w:ascii="Times New Roman" w:hAnsi="Times New Roman" w:cs="Times New Roman"/>
                <w:b/>
                <w:bCs/>
                <w:color w:val="000000" w:themeColor="text1"/>
                <w:sz w:val="24"/>
                <w:szCs w:val="24"/>
              </w:rPr>
              <w:t>)</w:t>
            </w:r>
          </w:p>
        </w:tc>
        <w:tc>
          <w:tcPr>
            <w:tcW w:w="3492" w:type="dxa"/>
            <w:gridSpan w:val="4"/>
            <w:vAlign w:val="center"/>
          </w:tcPr>
          <w:p w:rsidR="003F68A1" w:rsidRPr="00321564" w:rsidRDefault="001E7CCA"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 xml:space="preserve">Net returns </w:t>
            </w:r>
            <w:r w:rsidR="00D02B16" w:rsidRPr="00321564">
              <w:rPr>
                <w:rFonts w:ascii="Times New Roman" w:hAnsi="Times New Roman" w:cs="Times New Roman"/>
                <w:b/>
                <w:bCs/>
                <w:color w:val="000000" w:themeColor="text1"/>
                <w:sz w:val="24"/>
                <w:szCs w:val="24"/>
              </w:rPr>
              <w:t>(Rs./ha</w:t>
            </w:r>
            <w:r w:rsidR="003F68A1" w:rsidRPr="00321564">
              <w:rPr>
                <w:rFonts w:ascii="Times New Roman" w:hAnsi="Times New Roman" w:cs="Times New Roman"/>
                <w:b/>
                <w:bCs/>
                <w:color w:val="000000" w:themeColor="text1"/>
                <w:sz w:val="24"/>
                <w:szCs w:val="24"/>
              </w:rPr>
              <w:t>)</w:t>
            </w:r>
          </w:p>
        </w:tc>
        <w:tc>
          <w:tcPr>
            <w:tcW w:w="3493" w:type="dxa"/>
            <w:gridSpan w:val="4"/>
            <w:vAlign w:val="center"/>
          </w:tcPr>
          <w:p w:rsidR="003F68A1" w:rsidRPr="00321564" w:rsidRDefault="001E7CCA"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B</w:t>
            </w:r>
            <w:r w:rsidR="0064304E" w:rsidRPr="00321564">
              <w:rPr>
                <w:rFonts w:ascii="Times New Roman" w:hAnsi="Times New Roman" w:cs="Times New Roman"/>
                <w:b/>
                <w:bCs/>
                <w:color w:val="000000" w:themeColor="text1"/>
                <w:sz w:val="24"/>
                <w:szCs w:val="24"/>
              </w:rPr>
              <w:t>:</w:t>
            </w:r>
            <w:r w:rsidRPr="00321564">
              <w:rPr>
                <w:rFonts w:ascii="Times New Roman" w:hAnsi="Times New Roman" w:cs="Times New Roman"/>
                <w:b/>
                <w:bCs/>
                <w:color w:val="000000" w:themeColor="text1"/>
                <w:sz w:val="24"/>
                <w:szCs w:val="24"/>
              </w:rPr>
              <w:t>C ratio</w:t>
            </w:r>
          </w:p>
        </w:tc>
      </w:tr>
      <w:tr w:rsidR="009E02CB" w:rsidRPr="00321564" w:rsidTr="00A45E46">
        <w:trPr>
          <w:trHeight w:val="64"/>
        </w:trPr>
        <w:tc>
          <w:tcPr>
            <w:tcW w:w="1951" w:type="dxa"/>
            <w:vMerge/>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873"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874" w:type="dxa"/>
            <w:vAlign w:val="center"/>
          </w:tcPr>
          <w:p w:rsidR="003F68A1" w:rsidRPr="00321564" w:rsidRDefault="003F68A1"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r>
      <w:tr w:rsidR="009E02CB" w:rsidRPr="00321564" w:rsidTr="00A45E46">
        <w:trPr>
          <w:trHeight w:val="64"/>
        </w:trPr>
        <w:tc>
          <w:tcPr>
            <w:tcW w:w="1951" w:type="dxa"/>
            <w:vAlign w:val="center"/>
          </w:tcPr>
          <w:p w:rsidR="008E34A0" w:rsidRPr="00321564" w:rsidRDefault="008E34A0"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NTJ-5</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38796</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37903</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39079</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38593</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115455</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127439</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114649</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119181</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76659</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89536</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75570</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80588</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2.98</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3.36</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2.93</w:t>
            </w:r>
          </w:p>
        </w:tc>
        <w:tc>
          <w:tcPr>
            <w:tcW w:w="874"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3.09</w:t>
            </w:r>
          </w:p>
        </w:tc>
      </w:tr>
      <w:tr w:rsidR="009E02CB" w:rsidRPr="00321564" w:rsidTr="00A45E46">
        <w:trPr>
          <w:trHeight w:val="64"/>
        </w:trPr>
        <w:tc>
          <w:tcPr>
            <w:tcW w:w="1951" w:type="dxa"/>
            <w:vAlign w:val="center"/>
          </w:tcPr>
          <w:p w:rsidR="008E34A0" w:rsidRPr="00321564" w:rsidRDefault="008E34A0"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Local variety/hybrid</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41368</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40628</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42375</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41457</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95068</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103509</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103122</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100563</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53700</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62881</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60737</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59106</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2.30</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2.55</w:t>
            </w:r>
          </w:p>
        </w:tc>
        <w:tc>
          <w:tcPr>
            <w:tcW w:w="873"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2.43</w:t>
            </w:r>
          </w:p>
        </w:tc>
        <w:tc>
          <w:tcPr>
            <w:tcW w:w="874" w:type="dxa"/>
            <w:vAlign w:val="center"/>
          </w:tcPr>
          <w:p w:rsidR="008E34A0" w:rsidRPr="00321564" w:rsidRDefault="008E34A0"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2.43</w:t>
            </w:r>
          </w:p>
        </w:tc>
      </w:tr>
    </w:tbl>
    <w:p w:rsidR="003F68A1" w:rsidRPr="00321564" w:rsidRDefault="00F74B4D" w:rsidP="00EC006D">
      <w:pPr>
        <w:spacing w:before="240" w:line="24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Table 4</w:t>
      </w:r>
      <w:r w:rsidR="008E34A0" w:rsidRPr="00321564">
        <w:rPr>
          <w:rFonts w:ascii="Times New Roman" w:hAnsi="Times New Roman" w:cs="Times New Roman"/>
          <w:b/>
          <w:bCs/>
          <w:color w:val="000000" w:themeColor="text1"/>
          <w:sz w:val="24"/>
          <w:szCs w:val="24"/>
        </w:rPr>
        <w:t>: Gap Analysis of White Jowar Variety NTJ-5 in 2022-23, 2023-24, 2024-25 and pooled</w:t>
      </w:r>
    </w:p>
    <w:tbl>
      <w:tblPr>
        <w:tblStyle w:val="TableGrid"/>
        <w:tblW w:w="0" w:type="auto"/>
        <w:tblLook w:val="04A0" w:firstRow="1" w:lastRow="0" w:firstColumn="1" w:lastColumn="0" w:noHBand="0" w:noVBand="1"/>
      </w:tblPr>
      <w:tblGrid>
        <w:gridCol w:w="3922"/>
        <w:gridCol w:w="3925"/>
        <w:gridCol w:w="3922"/>
        <w:gridCol w:w="3925"/>
      </w:tblGrid>
      <w:tr w:rsidR="009E02CB" w:rsidRPr="00321564" w:rsidTr="00A45E46">
        <w:trPr>
          <w:trHeight w:val="64"/>
        </w:trPr>
        <w:tc>
          <w:tcPr>
            <w:tcW w:w="3960" w:type="dxa"/>
            <w:vAlign w:val="center"/>
          </w:tcPr>
          <w:p w:rsidR="007458F8" w:rsidRPr="00321564" w:rsidRDefault="007458F8"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Particulars</w:t>
            </w:r>
          </w:p>
        </w:tc>
        <w:tc>
          <w:tcPr>
            <w:tcW w:w="3961" w:type="dxa"/>
            <w:vAlign w:val="center"/>
          </w:tcPr>
          <w:p w:rsidR="007458F8" w:rsidRPr="00321564" w:rsidRDefault="00394349"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Technology gap (kg/ha</w:t>
            </w:r>
            <w:r w:rsidR="007458F8" w:rsidRPr="00321564">
              <w:rPr>
                <w:rFonts w:ascii="Times New Roman" w:hAnsi="Times New Roman" w:cs="Times New Roman"/>
                <w:b/>
                <w:bCs/>
                <w:color w:val="000000" w:themeColor="text1"/>
                <w:sz w:val="24"/>
                <w:szCs w:val="24"/>
              </w:rPr>
              <w:t>)</w:t>
            </w:r>
          </w:p>
        </w:tc>
        <w:tc>
          <w:tcPr>
            <w:tcW w:w="3961" w:type="dxa"/>
            <w:vAlign w:val="center"/>
          </w:tcPr>
          <w:p w:rsidR="007458F8" w:rsidRPr="00321564" w:rsidRDefault="00394349"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Extension gap (kg/ha</w:t>
            </w:r>
            <w:r w:rsidR="007458F8" w:rsidRPr="00321564">
              <w:rPr>
                <w:rFonts w:ascii="Times New Roman" w:hAnsi="Times New Roman" w:cs="Times New Roman"/>
                <w:b/>
                <w:bCs/>
                <w:color w:val="000000" w:themeColor="text1"/>
                <w:sz w:val="24"/>
                <w:szCs w:val="24"/>
              </w:rPr>
              <w:t>)</w:t>
            </w:r>
          </w:p>
        </w:tc>
        <w:tc>
          <w:tcPr>
            <w:tcW w:w="3961" w:type="dxa"/>
            <w:vAlign w:val="center"/>
          </w:tcPr>
          <w:p w:rsidR="007458F8" w:rsidRPr="00321564" w:rsidRDefault="007458F8" w:rsidP="00A45E46">
            <w:pPr>
              <w:spacing w:after="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Technology index (%)</w:t>
            </w:r>
          </w:p>
        </w:tc>
      </w:tr>
      <w:tr w:rsidR="009E02CB" w:rsidRPr="00321564" w:rsidTr="00A45E46">
        <w:trPr>
          <w:trHeight w:val="64"/>
        </w:trPr>
        <w:tc>
          <w:tcPr>
            <w:tcW w:w="3960" w:type="dxa"/>
            <w:vAlign w:val="center"/>
          </w:tcPr>
          <w:p w:rsidR="007458F8" w:rsidRPr="00321564" w:rsidRDefault="007458F8"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2022-23</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816</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327</w:t>
            </w:r>
          </w:p>
        </w:tc>
        <w:tc>
          <w:tcPr>
            <w:tcW w:w="3961" w:type="dxa"/>
            <w:vAlign w:val="center"/>
          </w:tcPr>
          <w:p w:rsidR="007458F8" w:rsidRPr="00321564" w:rsidRDefault="008E4E7D"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16.32</w:t>
            </w:r>
          </w:p>
        </w:tc>
      </w:tr>
      <w:tr w:rsidR="009E02CB" w:rsidRPr="00321564" w:rsidTr="00A45E46">
        <w:trPr>
          <w:trHeight w:val="64"/>
        </w:trPr>
        <w:tc>
          <w:tcPr>
            <w:tcW w:w="3960" w:type="dxa"/>
            <w:vAlign w:val="center"/>
          </w:tcPr>
          <w:p w:rsidR="007458F8" w:rsidRPr="00321564" w:rsidRDefault="007458F8"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2023-24</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992</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753</w:t>
            </w:r>
          </w:p>
        </w:tc>
        <w:tc>
          <w:tcPr>
            <w:tcW w:w="3961" w:type="dxa"/>
            <w:vAlign w:val="center"/>
          </w:tcPr>
          <w:p w:rsidR="007458F8" w:rsidRPr="00321564" w:rsidRDefault="008E4E7D"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19.84</w:t>
            </w:r>
          </w:p>
        </w:tc>
      </w:tr>
      <w:tr w:rsidR="009E02CB" w:rsidRPr="00321564" w:rsidTr="00A45E46">
        <w:trPr>
          <w:trHeight w:val="64"/>
        </w:trPr>
        <w:tc>
          <w:tcPr>
            <w:tcW w:w="3960" w:type="dxa"/>
            <w:vAlign w:val="center"/>
          </w:tcPr>
          <w:p w:rsidR="007458F8" w:rsidRPr="00321564" w:rsidRDefault="007458F8"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2024-25</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1526</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477</w:t>
            </w:r>
          </w:p>
        </w:tc>
        <w:tc>
          <w:tcPr>
            <w:tcW w:w="3961" w:type="dxa"/>
            <w:vAlign w:val="center"/>
          </w:tcPr>
          <w:p w:rsidR="007458F8" w:rsidRPr="00321564" w:rsidRDefault="008E4E7D"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30.52</w:t>
            </w:r>
          </w:p>
        </w:tc>
      </w:tr>
      <w:tr w:rsidR="009E02CB" w:rsidRPr="00321564" w:rsidTr="002320B9">
        <w:trPr>
          <w:trHeight w:val="162"/>
        </w:trPr>
        <w:tc>
          <w:tcPr>
            <w:tcW w:w="3960" w:type="dxa"/>
            <w:vAlign w:val="center"/>
          </w:tcPr>
          <w:p w:rsidR="007458F8" w:rsidRPr="00321564" w:rsidRDefault="007458F8" w:rsidP="00A45E46">
            <w:pPr>
              <w:spacing w:after="0" w:line="360" w:lineRule="auto"/>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Pooled</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1111</w:t>
            </w:r>
          </w:p>
        </w:tc>
        <w:tc>
          <w:tcPr>
            <w:tcW w:w="3961" w:type="dxa"/>
            <w:vAlign w:val="center"/>
          </w:tcPr>
          <w:p w:rsidR="007458F8" w:rsidRPr="00321564" w:rsidRDefault="007458F8"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519</w:t>
            </w:r>
          </w:p>
        </w:tc>
        <w:tc>
          <w:tcPr>
            <w:tcW w:w="3961" w:type="dxa"/>
            <w:vAlign w:val="center"/>
          </w:tcPr>
          <w:p w:rsidR="007458F8" w:rsidRPr="00321564" w:rsidRDefault="008E4E7D" w:rsidP="00A45E46">
            <w:pPr>
              <w:spacing w:after="0" w:line="360" w:lineRule="auto"/>
              <w:jc w:val="center"/>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22.22</w:t>
            </w:r>
          </w:p>
        </w:tc>
      </w:tr>
    </w:tbl>
    <w:p w:rsidR="00DB0DAE" w:rsidRPr="00321564" w:rsidRDefault="00DB0DAE" w:rsidP="00DB0DAE">
      <w:pPr>
        <w:spacing w:before="240" w:line="360" w:lineRule="auto"/>
        <w:jc w:val="both"/>
        <w:rPr>
          <w:rFonts w:ascii="Times New Roman" w:hAnsi="Times New Roman" w:cs="Times New Roman"/>
          <w:b/>
          <w:bCs/>
          <w:color w:val="000000" w:themeColor="text1"/>
          <w:sz w:val="24"/>
          <w:szCs w:val="24"/>
        </w:rPr>
      </w:pPr>
    </w:p>
    <w:p w:rsidR="00321564" w:rsidRDefault="00321564" w:rsidP="00DB0DAE">
      <w:pPr>
        <w:spacing w:before="240" w:line="360" w:lineRule="auto"/>
        <w:jc w:val="both"/>
        <w:rPr>
          <w:rFonts w:ascii="Times New Roman" w:hAnsi="Times New Roman" w:cs="Times New Roman"/>
          <w:b/>
          <w:bCs/>
          <w:color w:val="000000" w:themeColor="text1"/>
          <w:sz w:val="24"/>
          <w:szCs w:val="24"/>
        </w:rPr>
        <w:sectPr w:rsidR="00321564" w:rsidSect="00321564">
          <w:pgSz w:w="16838" w:h="11906" w:orient="landscape" w:code="9"/>
          <w:pgMar w:top="567" w:right="567" w:bottom="567" w:left="567" w:header="709" w:footer="709" w:gutter="0"/>
          <w:cols w:space="708"/>
          <w:docGrid w:linePitch="360"/>
        </w:sectPr>
      </w:pPr>
    </w:p>
    <w:p w:rsidR="00DB0DAE" w:rsidRPr="00321564" w:rsidRDefault="00DB0DAE" w:rsidP="00DB0DAE">
      <w:pPr>
        <w:spacing w:before="240" w:line="360" w:lineRule="auto"/>
        <w:jc w:val="both"/>
        <w:rPr>
          <w:rFonts w:ascii="Times New Roman" w:hAnsi="Times New Roman" w:cs="Times New Roman"/>
          <w:b/>
          <w:bCs/>
          <w:color w:val="000000" w:themeColor="text1"/>
          <w:sz w:val="24"/>
          <w:szCs w:val="24"/>
        </w:rPr>
      </w:pPr>
    </w:p>
    <w:p w:rsidR="00DB0DAE" w:rsidRPr="00321564" w:rsidRDefault="00DB0DAE" w:rsidP="00DB0DAE">
      <w:pPr>
        <w:spacing w:before="240" w:line="360" w:lineRule="auto"/>
        <w:jc w:val="both"/>
        <w:rPr>
          <w:rFonts w:ascii="Times New Roman" w:hAnsi="Times New Roman" w:cs="Times New Roman"/>
          <w:b/>
          <w:bCs/>
          <w:color w:val="000000" w:themeColor="text1"/>
          <w:sz w:val="24"/>
          <w:szCs w:val="24"/>
        </w:rPr>
      </w:pPr>
    </w:p>
    <w:p w:rsidR="00DB0DAE" w:rsidRPr="00321564" w:rsidRDefault="00DB0DAE" w:rsidP="00DB0DAE">
      <w:pPr>
        <w:spacing w:before="240" w:line="360" w:lineRule="auto"/>
        <w:jc w:val="both"/>
        <w:rPr>
          <w:rFonts w:ascii="Times New Roman" w:hAnsi="Times New Roman" w:cs="Times New Roman"/>
          <w:b/>
          <w:bCs/>
          <w:color w:val="000000" w:themeColor="text1"/>
          <w:sz w:val="24"/>
          <w:szCs w:val="24"/>
        </w:rPr>
      </w:pPr>
    </w:p>
    <w:p w:rsidR="00DB0DAE"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noProof/>
          <w:color w:val="000000" w:themeColor="text1"/>
          <w:sz w:val="24"/>
          <w:szCs w:val="24"/>
        </w:rPr>
        <w:drawing>
          <wp:inline distT="0" distB="0" distL="0" distR="0" wp14:anchorId="4B4CCE2A" wp14:editId="5C8DFD6B">
            <wp:extent cx="5324471" cy="2393343"/>
            <wp:effectExtent l="38100" t="38100" r="29210" b="45085"/>
            <wp:docPr id="8" name="Picture 8" descr="G:\APR - CROP PRODUCTION\SUCCESS STORY - 2\FLD ON WHITE JOWAR VARIETY NTJ-5, KVK, NELLORE -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R - CROP PRODUCTION\SUCCESS STORY - 2\FLD ON WHITE JOWAR VARIETY NTJ-5, KVK, NELLORE - 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675" cy="2422202"/>
                    </a:xfrm>
                    <a:prstGeom prst="rect">
                      <a:avLst/>
                    </a:prstGeom>
                    <a:noFill/>
                    <a:ln w="38100">
                      <a:solidFill>
                        <a:schemeClr val="tx1"/>
                      </a:solidFill>
                    </a:ln>
                  </pic:spPr>
                </pic:pic>
              </a:graphicData>
            </a:graphic>
          </wp:inline>
        </w:drawing>
      </w:r>
    </w:p>
    <w:p w:rsidR="00DB0DAE"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Fig 1: Front Line Demonstration of White Jowar Variety</w:t>
      </w:r>
      <w:r w:rsidR="00D949D2" w:rsidRPr="00321564">
        <w:rPr>
          <w:rFonts w:ascii="Times New Roman" w:hAnsi="Times New Roman" w:cs="Times New Roman"/>
          <w:b/>
          <w:bCs/>
          <w:color w:val="000000" w:themeColor="text1"/>
          <w:sz w:val="24"/>
          <w:szCs w:val="24"/>
        </w:rPr>
        <w:t>,</w:t>
      </w:r>
      <w:r w:rsidRPr="00321564">
        <w:rPr>
          <w:rFonts w:ascii="Times New Roman" w:hAnsi="Times New Roman" w:cs="Times New Roman"/>
          <w:b/>
          <w:bCs/>
          <w:color w:val="000000" w:themeColor="text1"/>
          <w:sz w:val="24"/>
          <w:szCs w:val="24"/>
        </w:rPr>
        <w:t xml:space="preserve"> NTJ-5 at Nagulavellaturu (V), Chejerla (M)</w:t>
      </w:r>
    </w:p>
    <w:p w:rsidR="00DB0DAE"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noProof/>
          <w:color w:val="000000" w:themeColor="text1"/>
          <w:sz w:val="24"/>
          <w:szCs w:val="24"/>
        </w:rPr>
        <w:drawing>
          <wp:inline distT="0" distB="0" distL="0" distR="0" wp14:anchorId="4E3FDBBF" wp14:editId="02DDFB1E">
            <wp:extent cx="3760967" cy="2820355"/>
            <wp:effectExtent l="38100" t="38100" r="30480" b="37465"/>
            <wp:docPr id="9" name="Picture 9" descr="G:\APR - CROP PRODUCTION\SUCCESS STORY - 2\FIELD DAY in WHITE JOWAR VARIETY NTJ-5, KVK, NELLORE -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R - CROP PRODUCTION\SUCCESS STORY - 2\FIELD DAY in WHITE JOWAR VARIETY NTJ-5, KVK, NELLORE - 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765" cy="2857698"/>
                    </a:xfrm>
                    <a:prstGeom prst="rect">
                      <a:avLst/>
                    </a:prstGeom>
                    <a:noFill/>
                    <a:ln w="38100">
                      <a:solidFill>
                        <a:schemeClr val="tx1"/>
                      </a:solidFill>
                    </a:ln>
                  </pic:spPr>
                </pic:pic>
              </a:graphicData>
            </a:graphic>
          </wp:inline>
        </w:drawing>
      </w:r>
    </w:p>
    <w:p w:rsidR="00DB0DAE"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Fig 2: Front Line Demonstration of White Jowar Variety</w:t>
      </w:r>
      <w:r w:rsidR="00D949D2" w:rsidRPr="00321564">
        <w:rPr>
          <w:rFonts w:ascii="Times New Roman" w:hAnsi="Times New Roman" w:cs="Times New Roman"/>
          <w:b/>
          <w:bCs/>
          <w:color w:val="000000" w:themeColor="text1"/>
          <w:sz w:val="24"/>
          <w:szCs w:val="24"/>
        </w:rPr>
        <w:t>,</w:t>
      </w:r>
      <w:r w:rsidRPr="00321564">
        <w:rPr>
          <w:rFonts w:ascii="Times New Roman" w:hAnsi="Times New Roman" w:cs="Times New Roman"/>
          <w:b/>
          <w:bCs/>
          <w:color w:val="000000" w:themeColor="text1"/>
          <w:sz w:val="24"/>
          <w:szCs w:val="24"/>
        </w:rPr>
        <w:t xml:space="preserve"> NTJ-5 at Kampasamudram (V), Marripadu (M)</w:t>
      </w:r>
    </w:p>
    <w:p w:rsidR="00DB0DAE"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noProof/>
          <w:color w:val="000000" w:themeColor="text1"/>
          <w:sz w:val="24"/>
          <w:szCs w:val="24"/>
        </w:rPr>
        <w:lastRenderedPageBreak/>
        <w:drawing>
          <wp:inline distT="0" distB="0" distL="0" distR="0" wp14:anchorId="18F76160" wp14:editId="655F718C">
            <wp:extent cx="3848432" cy="2885947"/>
            <wp:effectExtent l="38100" t="38100" r="38100" b="29210"/>
            <wp:docPr id="10" name="Picture 10" descr="G:\APR - CROP PRODUCTION\SUCCESS STORY - 2\FIELD DAY on WHITE JOWAR VARIETY NTJ-5, KVK, NELLORE -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PR - CROP PRODUCTION\SUCCESS STORY - 2\FIELD DAY on WHITE JOWAR VARIETY NTJ-5, KVK, NELLORE - 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7464" cy="2915217"/>
                    </a:xfrm>
                    <a:prstGeom prst="rect">
                      <a:avLst/>
                    </a:prstGeom>
                    <a:noFill/>
                    <a:ln w="38100">
                      <a:solidFill>
                        <a:schemeClr val="tx1"/>
                      </a:solidFill>
                    </a:ln>
                  </pic:spPr>
                </pic:pic>
              </a:graphicData>
            </a:graphic>
          </wp:inline>
        </w:drawing>
      </w:r>
    </w:p>
    <w:p w:rsidR="006E06D1" w:rsidRPr="00321564" w:rsidRDefault="00DB0DAE" w:rsidP="00DB0DAE">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Fig 3: Field Day on White Jowar Variety</w:t>
      </w:r>
      <w:r w:rsidR="00D949D2" w:rsidRPr="00321564">
        <w:rPr>
          <w:rFonts w:ascii="Times New Roman" w:hAnsi="Times New Roman" w:cs="Times New Roman"/>
          <w:b/>
          <w:bCs/>
          <w:color w:val="000000" w:themeColor="text1"/>
          <w:sz w:val="24"/>
          <w:szCs w:val="24"/>
        </w:rPr>
        <w:t>,</w:t>
      </w:r>
      <w:r w:rsidRPr="00321564">
        <w:rPr>
          <w:rFonts w:ascii="Times New Roman" w:hAnsi="Times New Roman" w:cs="Times New Roman"/>
          <w:b/>
          <w:bCs/>
          <w:color w:val="000000" w:themeColor="text1"/>
          <w:sz w:val="24"/>
          <w:szCs w:val="24"/>
        </w:rPr>
        <w:t xml:space="preserve"> NTJ-5 at Kampasamudram (V), Marripadu (M)</w:t>
      </w:r>
    </w:p>
    <w:p w:rsidR="006A7654" w:rsidRPr="00321564" w:rsidRDefault="006A7654" w:rsidP="006A7654">
      <w:pPr>
        <w:spacing w:before="240" w:line="360" w:lineRule="auto"/>
        <w:jc w:val="center"/>
        <w:rPr>
          <w:rFonts w:ascii="Times New Roman" w:hAnsi="Times New Roman" w:cs="Times New Roman"/>
          <w:b/>
          <w:bCs/>
          <w:color w:val="000000" w:themeColor="text1"/>
          <w:sz w:val="24"/>
          <w:szCs w:val="24"/>
        </w:rPr>
      </w:pPr>
      <w:r w:rsidRPr="00321564">
        <w:rPr>
          <w:rFonts w:ascii="Times New Roman" w:hAnsi="Times New Roman" w:cs="Times New Roman"/>
          <w:noProof/>
          <w:color w:val="000000" w:themeColor="text1"/>
          <w:sz w:val="24"/>
          <w:szCs w:val="24"/>
        </w:rPr>
        <w:drawing>
          <wp:inline distT="0" distB="0" distL="0" distR="0" wp14:anchorId="1993F841" wp14:editId="5CA79AC5">
            <wp:extent cx="4572000" cy="3128962"/>
            <wp:effectExtent l="0" t="0" r="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7654" w:rsidRPr="00321564" w:rsidRDefault="00D00B5D" w:rsidP="00394349">
      <w:pPr>
        <w:spacing w:before="240" w:line="360" w:lineRule="auto"/>
        <w:jc w:val="center"/>
        <w:rPr>
          <w:rFonts w:ascii="Times New Roman" w:hAnsi="Times New Roman" w:cs="Times New Roman"/>
          <w:b/>
          <w:bCs/>
          <w:color w:val="000000" w:themeColor="text1"/>
          <w:sz w:val="24"/>
          <w:szCs w:val="24"/>
        </w:rPr>
        <w:sectPr w:rsidR="006A7654" w:rsidRPr="00321564" w:rsidSect="00DB0DAE">
          <w:pgSz w:w="11906" w:h="16838" w:code="9"/>
          <w:pgMar w:top="567" w:right="567" w:bottom="567" w:left="567" w:header="709" w:footer="709" w:gutter="0"/>
          <w:cols w:space="708"/>
          <w:docGrid w:linePitch="360"/>
        </w:sectPr>
      </w:pPr>
      <w:r w:rsidRPr="00321564">
        <w:rPr>
          <w:rFonts w:ascii="Times New Roman" w:hAnsi="Times New Roman" w:cs="Times New Roman"/>
          <w:b/>
          <w:bCs/>
          <w:color w:val="000000" w:themeColor="text1"/>
          <w:sz w:val="24"/>
          <w:szCs w:val="24"/>
        </w:rPr>
        <w:t>Fig 4</w:t>
      </w:r>
      <w:r w:rsidR="006A7654" w:rsidRPr="00321564">
        <w:rPr>
          <w:rFonts w:ascii="Times New Roman" w:hAnsi="Times New Roman" w:cs="Times New Roman"/>
          <w:b/>
          <w:bCs/>
          <w:color w:val="000000" w:themeColor="text1"/>
          <w:sz w:val="24"/>
          <w:szCs w:val="24"/>
        </w:rPr>
        <w:t>: Impact of Front Line Demonstrations on Technology Gap, Extension Gap and Technology Index of White Jowar Variety NTJ-5</w:t>
      </w:r>
    </w:p>
    <w:p w:rsidR="00602F9E" w:rsidRPr="00321564" w:rsidRDefault="00602F9E" w:rsidP="00602F9E">
      <w:pPr>
        <w:autoSpaceDE w:val="0"/>
        <w:autoSpaceDN w:val="0"/>
        <w:adjustRightInd w:val="0"/>
        <w:spacing w:after="0" w:line="360" w:lineRule="auto"/>
        <w:jc w:val="both"/>
        <w:rPr>
          <w:rFonts w:ascii="Times New Roman" w:hAnsi="Times New Roman" w:cs="Times New Roman"/>
          <w:color w:val="000000" w:themeColor="text1"/>
          <w:sz w:val="24"/>
          <w:szCs w:val="24"/>
        </w:rPr>
      </w:pPr>
      <w:r w:rsidRPr="00321564">
        <w:rPr>
          <w:rFonts w:ascii="Times New Roman" w:eastAsiaTheme="minorHAnsi" w:hAnsi="Times New Roman" w:cs="Times New Roman"/>
          <w:b/>
          <w:bCs/>
          <w:color w:val="000000" w:themeColor="text1"/>
          <w:sz w:val="24"/>
          <w:szCs w:val="24"/>
          <w:lang w:eastAsia="en-US"/>
        </w:rPr>
        <w:lastRenderedPageBreak/>
        <w:t xml:space="preserve">ACKNOWLEDGEMENTS: </w:t>
      </w:r>
      <w:r w:rsidRPr="00321564">
        <w:rPr>
          <w:rFonts w:ascii="Times New Roman" w:hAnsi="Times New Roman" w:cs="Times New Roman"/>
          <w:color w:val="000000" w:themeColor="text1"/>
          <w:sz w:val="24"/>
          <w:szCs w:val="24"/>
        </w:rPr>
        <w:t>The author expresses sincere gratitude to the Director, ATARI, Zone-X, Hyderabad (ICAR), for providing financial assistance for the successful conduct of this Frontline Demonstration.</w:t>
      </w:r>
    </w:p>
    <w:p w:rsidR="001A6F14" w:rsidRPr="00321564" w:rsidRDefault="003E39EA" w:rsidP="00602F9E">
      <w:pPr>
        <w:autoSpaceDE w:val="0"/>
        <w:autoSpaceDN w:val="0"/>
        <w:adjustRightInd w:val="0"/>
        <w:spacing w:before="240" w:line="360" w:lineRule="auto"/>
        <w:jc w:val="both"/>
        <w:rPr>
          <w:rFonts w:ascii="Times New Roman" w:hAnsi="Times New Roman" w:cs="Times New Roman"/>
          <w:color w:val="000000" w:themeColor="text1"/>
          <w:sz w:val="24"/>
          <w:szCs w:val="24"/>
          <w:shd w:val="clear" w:color="auto" w:fill="FFFFFF"/>
        </w:rPr>
      </w:pPr>
      <w:r w:rsidRPr="00321564">
        <w:rPr>
          <w:rFonts w:ascii="Times New Roman" w:hAnsi="Times New Roman" w:cs="Times New Roman"/>
          <w:b/>
          <w:bCs/>
          <w:color w:val="000000" w:themeColor="text1"/>
          <w:sz w:val="24"/>
          <w:szCs w:val="24"/>
          <w:shd w:val="clear" w:color="auto" w:fill="FFFFFF"/>
        </w:rPr>
        <w:t>COMPETING INTERESTS:</w:t>
      </w:r>
      <w:r w:rsidRPr="00321564">
        <w:rPr>
          <w:rFonts w:ascii="Times New Roman" w:hAnsi="Times New Roman" w:cs="Times New Roman"/>
          <w:color w:val="000000" w:themeColor="text1"/>
          <w:sz w:val="24"/>
          <w:szCs w:val="24"/>
          <w:shd w:val="clear" w:color="auto" w:fill="FFFFFF"/>
        </w:rPr>
        <w:t xml:space="preserve"> Authors    have    declared    that    no    competing interests exist.</w:t>
      </w:r>
    </w:p>
    <w:p w:rsidR="001A6F14" w:rsidRPr="00321564" w:rsidRDefault="00D30AF4" w:rsidP="001A6F14">
      <w:pPr>
        <w:autoSpaceDE w:val="0"/>
        <w:autoSpaceDN w:val="0"/>
        <w:adjustRightInd w:val="0"/>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DISCLAIMER (ARTIFICIAL INTELLIGENCE)</w:t>
      </w:r>
      <w:r w:rsidR="000C2810" w:rsidRPr="00321564">
        <w:rPr>
          <w:rFonts w:ascii="Times New Roman" w:hAnsi="Times New Roman" w:cs="Times New Roman"/>
          <w:b/>
          <w:bCs/>
          <w:color w:val="000000" w:themeColor="text1"/>
          <w:sz w:val="24"/>
          <w:szCs w:val="24"/>
        </w:rPr>
        <w:t>:</w:t>
      </w:r>
    </w:p>
    <w:p w:rsidR="00D30AF4" w:rsidRPr="00321564" w:rsidRDefault="001A6F14" w:rsidP="001A6F1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321564">
        <w:rPr>
          <w:rFonts w:ascii="Times New Roman" w:hAnsi="Times New Roman" w:cs="Times New Roman"/>
          <w:color w:val="000000" w:themeColor="text1"/>
          <w:sz w:val="24"/>
          <w:szCs w:val="24"/>
        </w:rPr>
        <w:t>Author(s) hereby declare that NO generative AI technologies such as Large Language Models (ChatGPT, COPILOT, etc.)</w:t>
      </w:r>
      <w:r w:rsidR="00D30AF4" w:rsidRPr="00321564">
        <w:rPr>
          <w:rFonts w:ascii="Times New Roman" w:hAnsi="Times New Roman" w:cs="Times New Roman"/>
          <w:color w:val="000000" w:themeColor="text1"/>
          <w:sz w:val="24"/>
          <w:szCs w:val="24"/>
        </w:rPr>
        <w:t xml:space="preserve"> </w:t>
      </w:r>
      <w:r w:rsidRPr="00321564">
        <w:rPr>
          <w:rFonts w:ascii="Times New Roman" w:hAnsi="Times New Roman" w:cs="Times New Roman"/>
          <w:color w:val="000000" w:themeColor="text1"/>
          <w:sz w:val="24"/>
          <w:szCs w:val="24"/>
        </w:rPr>
        <w:t>and text-to-image generators have been used during the writing or editing of this manuscript.</w:t>
      </w:r>
    </w:p>
    <w:p w:rsidR="00202FEA" w:rsidRPr="00321564" w:rsidRDefault="00202FEA" w:rsidP="001A6F14">
      <w:pPr>
        <w:autoSpaceDE w:val="0"/>
        <w:autoSpaceDN w:val="0"/>
        <w:adjustRightInd w:val="0"/>
        <w:spacing w:before="240" w:line="360" w:lineRule="auto"/>
        <w:jc w:val="both"/>
        <w:rPr>
          <w:rFonts w:ascii="Times New Roman" w:hAnsi="Times New Roman" w:cs="Times New Roman"/>
          <w:b/>
          <w:bCs/>
          <w:color w:val="000000" w:themeColor="text1"/>
          <w:sz w:val="24"/>
          <w:szCs w:val="24"/>
        </w:rPr>
      </w:pPr>
      <w:r w:rsidRPr="00321564">
        <w:rPr>
          <w:rFonts w:ascii="Times New Roman" w:hAnsi="Times New Roman" w:cs="Times New Roman"/>
          <w:b/>
          <w:bCs/>
          <w:color w:val="000000" w:themeColor="text1"/>
          <w:sz w:val="24"/>
          <w:szCs w:val="24"/>
        </w:rPr>
        <w:t>REFERENCES</w:t>
      </w:r>
      <w:r w:rsidR="00602F9E" w:rsidRPr="00321564">
        <w:rPr>
          <w:rFonts w:ascii="Times New Roman" w:hAnsi="Times New Roman" w:cs="Times New Roman"/>
          <w:b/>
          <w:bCs/>
          <w:color w:val="000000" w:themeColor="text1"/>
          <w:sz w:val="24"/>
          <w:szCs w:val="24"/>
        </w:rPr>
        <w:t>:</w:t>
      </w:r>
    </w:p>
    <w:p w:rsidR="00D538BB" w:rsidRPr="00487D2B" w:rsidRDefault="00D538BB" w:rsidP="00D538BB">
      <w:pPr>
        <w:pStyle w:val="NormalWeb"/>
        <w:spacing w:line="360" w:lineRule="auto"/>
        <w:jc w:val="both"/>
        <w:rPr>
          <w:color w:val="000000" w:themeColor="text1"/>
        </w:rPr>
      </w:pPr>
      <w:r w:rsidRPr="00321564">
        <w:rPr>
          <w:color w:val="000000" w:themeColor="text1"/>
        </w:rPr>
        <w:t xml:space="preserve">Assefa, Y., Staggenborg, S. A and Prasad, V. P. V. (2010). Grain sorghum water requirement and responses to </w:t>
      </w:r>
      <w:r w:rsidRPr="00321564">
        <w:rPr>
          <w:color w:val="000000" w:themeColor="text1"/>
        </w:rPr>
        <w:tab/>
        <w:t xml:space="preserve">drought stress: A review. </w:t>
      </w:r>
      <w:r w:rsidRPr="00321564">
        <w:rPr>
          <w:rStyle w:val="Emphasis"/>
          <w:color w:val="000000" w:themeColor="text1"/>
        </w:rPr>
        <w:t>Crop Management</w:t>
      </w:r>
      <w:r w:rsidRPr="00321564">
        <w:rPr>
          <w:color w:val="000000" w:themeColor="text1"/>
        </w:rPr>
        <w:t xml:space="preserve">. </w:t>
      </w:r>
      <w:r w:rsidR="009E02CB" w:rsidRPr="00321564">
        <w:rPr>
          <w:color w:val="000000" w:themeColor="text1"/>
        </w:rPr>
        <w:t xml:space="preserve">9(1). </w:t>
      </w:r>
      <w:r w:rsidR="009E02CB" w:rsidRPr="00487D2B">
        <w:rPr>
          <w:color w:val="000000" w:themeColor="text1"/>
          <w:shd w:val="clear" w:color="auto" w:fill="FFFFFF"/>
        </w:rPr>
        <w:t>Doi:10.1094/CM-2010-1109-01-RV.</w:t>
      </w:r>
    </w:p>
    <w:p w:rsidR="00D538BB" w:rsidRPr="00487D2B" w:rsidRDefault="00D538BB" w:rsidP="00D538BB">
      <w:pPr>
        <w:autoSpaceDE w:val="0"/>
        <w:autoSpaceDN w:val="0"/>
        <w:adjustRightInd w:val="0"/>
        <w:spacing w:after="0" w:line="360" w:lineRule="auto"/>
        <w:rPr>
          <w:rFonts w:ascii="Times New Roman" w:eastAsia="Times New Roman" w:hAnsi="Times New Roman" w:cs="Times New Roman"/>
          <w:color w:val="000000" w:themeColor="text1"/>
          <w:sz w:val="24"/>
          <w:szCs w:val="24"/>
          <w:lang w:val="en-US" w:eastAsia="en-US"/>
        </w:rPr>
      </w:pPr>
      <w:r w:rsidRPr="00321564">
        <w:rPr>
          <w:rStyle w:val="Strong"/>
          <w:rFonts w:ascii="Times New Roman" w:hAnsi="Times New Roman" w:cs="Times New Roman"/>
          <w:b w:val="0"/>
          <w:bCs w:val="0"/>
          <w:color w:val="000000" w:themeColor="text1"/>
          <w:sz w:val="24"/>
          <w:szCs w:val="24"/>
        </w:rPr>
        <w:t>Hassan, Z. M., Sebola, N. A and Mabelebele, M. (2021).</w:t>
      </w:r>
      <w:r w:rsidRPr="00321564">
        <w:rPr>
          <w:rFonts w:ascii="Times New Roman" w:hAnsi="Times New Roman" w:cs="Times New Roman"/>
          <w:color w:val="000000" w:themeColor="text1"/>
          <w:sz w:val="24"/>
          <w:szCs w:val="24"/>
        </w:rPr>
        <w:t xml:space="preserve"> The nutritional use of mil</w:t>
      </w:r>
      <w:r w:rsidR="00487D2B">
        <w:rPr>
          <w:rFonts w:ascii="Times New Roman" w:hAnsi="Times New Roman" w:cs="Times New Roman"/>
          <w:color w:val="000000" w:themeColor="text1"/>
          <w:sz w:val="24"/>
          <w:szCs w:val="24"/>
        </w:rPr>
        <w:t xml:space="preserve">let grain for food and feed: </w:t>
      </w:r>
      <w:r w:rsidR="00487D2B">
        <w:rPr>
          <w:rFonts w:ascii="Times New Roman" w:hAnsi="Times New Roman" w:cs="Times New Roman"/>
          <w:color w:val="000000" w:themeColor="text1"/>
          <w:sz w:val="24"/>
          <w:szCs w:val="24"/>
        </w:rPr>
        <w:tab/>
        <w:t xml:space="preserve">A </w:t>
      </w:r>
      <w:r w:rsidRPr="00321564">
        <w:rPr>
          <w:rFonts w:ascii="Times New Roman" w:hAnsi="Times New Roman" w:cs="Times New Roman"/>
          <w:color w:val="000000" w:themeColor="text1"/>
          <w:sz w:val="24"/>
          <w:szCs w:val="24"/>
        </w:rPr>
        <w:t xml:space="preserve">review. </w:t>
      </w:r>
      <w:r w:rsidRPr="00321564">
        <w:rPr>
          <w:rStyle w:val="Emphasis"/>
          <w:rFonts w:ascii="Times New Roman" w:hAnsi="Times New Roman" w:cs="Times New Roman"/>
          <w:color w:val="000000" w:themeColor="text1"/>
          <w:sz w:val="24"/>
          <w:szCs w:val="24"/>
        </w:rPr>
        <w:t>Agriculture &amp; Food Security, 10</w:t>
      </w:r>
      <w:r w:rsidR="009E02CB" w:rsidRPr="00321564">
        <w:rPr>
          <w:rFonts w:ascii="Times New Roman" w:hAnsi="Times New Roman" w:cs="Times New Roman"/>
          <w:color w:val="000000" w:themeColor="text1"/>
          <w:sz w:val="24"/>
          <w:szCs w:val="24"/>
        </w:rPr>
        <w:t xml:space="preserve">:16. </w:t>
      </w:r>
      <w:r w:rsidR="009E02CB" w:rsidRPr="00487D2B">
        <w:rPr>
          <w:rFonts w:ascii="Times New Roman" w:hAnsi="Times New Roman" w:cs="Times New Roman"/>
          <w:color w:val="000000" w:themeColor="text1"/>
          <w:sz w:val="24"/>
          <w:szCs w:val="24"/>
        </w:rPr>
        <w:t xml:space="preserve">https://doi.org/10.1186/s40066-020-00282-6. </w:t>
      </w:r>
      <w:r w:rsidRPr="00487D2B">
        <w:rPr>
          <w:rFonts w:ascii="Times New Roman" w:eastAsia="Times New Roman" w:hAnsi="Times New Roman" w:cs="Times New Roman"/>
          <w:color w:val="000000" w:themeColor="text1"/>
          <w:sz w:val="24"/>
          <w:szCs w:val="24"/>
          <w:lang w:val="en-US" w:eastAsia="en-US"/>
        </w:rPr>
        <w:t xml:space="preserve"> </w:t>
      </w:r>
    </w:p>
    <w:p w:rsidR="00D538BB" w:rsidRPr="00487D2B" w:rsidRDefault="00D538BB" w:rsidP="00D538BB">
      <w:pPr>
        <w:pStyle w:val="NormalWeb"/>
        <w:spacing w:line="360" w:lineRule="auto"/>
        <w:jc w:val="both"/>
        <w:rPr>
          <w:color w:val="000000" w:themeColor="text1"/>
        </w:rPr>
      </w:pPr>
      <w:r w:rsidRPr="00321564">
        <w:rPr>
          <w:color w:val="000000" w:themeColor="text1"/>
        </w:rPr>
        <w:t xml:space="preserve">Jayalakshmi, V., Chaithanya, B. H., Manjunath, J., Ahammad, S. K., Kamakshi, N </w:t>
      </w:r>
      <w:r w:rsidR="00487D2B">
        <w:rPr>
          <w:color w:val="000000" w:themeColor="text1"/>
        </w:rPr>
        <w:t xml:space="preserve">and Devi, S. R. (2022). Impact </w:t>
      </w:r>
      <w:r w:rsidR="00487D2B">
        <w:rPr>
          <w:color w:val="000000" w:themeColor="text1"/>
        </w:rPr>
        <w:tab/>
      </w:r>
      <w:r w:rsidRPr="00321564">
        <w:rPr>
          <w:color w:val="000000" w:themeColor="text1"/>
        </w:rPr>
        <w:t>of Tribal Sub Plan (TSP) intervention on yield and economics of chickpea c</w:t>
      </w:r>
      <w:r w:rsidR="00487D2B">
        <w:rPr>
          <w:color w:val="000000" w:themeColor="text1"/>
        </w:rPr>
        <w:t xml:space="preserve">ultivation in Kurnool district </w:t>
      </w:r>
      <w:r w:rsidR="00487D2B">
        <w:rPr>
          <w:color w:val="000000" w:themeColor="text1"/>
        </w:rPr>
        <w:tab/>
      </w:r>
      <w:r w:rsidRPr="00321564">
        <w:rPr>
          <w:color w:val="000000" w:themeColor="text1"/>
        </w:rPr>
        <w:t xml:space="preserve">of Andhra Pradesh. </w:t>
      </w:r>
      <w:r w:rsidRPr="00321564">
        <w:rPr>
          <w:rStyle w:val="Emphasis"/>
          <w:color w:val="000000" w:themeColor="text1"/>
        </w:rPr>
        <w:t>Indian Journal of Extension Education, 58</w:t>
      </w:r>
      <w:r w:rsidRPr="00321564">
        <w:rPr>
          <w:color w:val="000000" w:themeColor="text1"/>
        </w:rPr>
        <w:t>(2):217-220.</w:t>
      </w:r>
      <w:r w:rsidR="00487D2B">
        <w:rPr>
          <w:color w:val="000000" w:themeColor="text1"/>
        </w:rPr>
        <w:t xml:space="preserve"> </w:t>
      </w:r>
      <w:r w:rsidR="00487D2B">
        <w:rPr>
          <w:color w:val="000000" w:themeColor="text1"/>
        </w:rPr>
        <w:tab/>
      </w:r>
      <w:r w:rsidR="00487D2B" w:rsidRPr="00487D2B">
        <w:rPr>
          <w:color w:val="000000" w:themeColor="text1"/>
          <w:shd w:val="clear" w:color="auto" w:fill="FFFFFF"/>
        </w:rPr>
        <w:t>DOI:</w:t>
      </w:r>
      <w:hyperlink r:id="rId12" w:tgtFrame="_blank" w:history="1">
        <w:r w:rsidR="00487D2B" w:rsidRPr="00487D2B">
          <w:rPr>
            <w:rStyle w:val="Hyperlink"/>
            <w:color w:val="000000" w:themeColor="text1"/>
            <w:u w:val="none"/>
            <w:bdr w:val="none" w:sz="0" w:space="0" w:color="auto" w:frame="1"/>
            <w:shd w:val="clear" w:color="auto" w:fill="FFFFFF"/>
          </w:rPr>
          <w:t>10.48165/IJEE.2022.58234</w:t>
        </w:r>
      </w:hyperlink>
      <w:r w:rsidR="00487D2B">
        <w:rPr>
          <w:color w:val="000000" w:themeColor="text1"/>
        </w:rPr>
        <w:t>.</w:t>
      </w:r>
    </w:p>
    <w:p w:rsidR="00D538BB" w:rsidRPr="0060317D" w:rsidRDefault="00D538BB" w:rsidP="00D538BB">
      <w:pPr>
        <w:autoSpaceDE w:val="0"/>
        <w:autoSpaceDN w:val="0"/>
        <w:adjustRightInd w:val="0"/>
        <w:spacing w:after="0" w:line="360" w:lineRule="auto"/>
        <w:jc w:val="both"/>
        <w:rPr>
          <w:rFonts w:ascii="Times New Roman" w:hAnsi="Times New Roman" w:cs="Times New Roman"/>
          <w:color w:val="000000" w:themeColor="text1"/>
          <w:sz w:val="24"/>
          <w:szCs w:val="24"/>
        </w:rPr>
      </w:pPr>
      <w:r w:rsidRPr="0060317D">
        <w:rPr>
          <w:rStyle w:val="Strong"/>
          <w:rFonts w:ascii="Times New Roman" w:hAnsi="Times New Roman" w:cs="Times New Roman"/>
          <w:b w:val="0"/>
          <w:bCs w:val="0"/>
          <w:color w:val="000000" w:themeColor="text1"/>
          <w:sz w:val="24"/>
          <w:szCs w:val="24"/>
        </w:rPr>
        <w:t>Saleh, A. S., Zhang, Q., Chen, J and Shen, Q. (2013).</w:t>
      </w:r>
      <w:r w:rsidRPr="0060317D">
        <w:rPr>
          <w:rFonts w:ascii="Times New Roman" w:hAnsi="Times New Roman" w:cs="Times New Roman"/>
          <w:color w:val="000000" w:themeColor="text1"/>
          <w:sz w:val="24"/>
          <w:szCs w:val="24"/>
        </w:rPr>
        <w:t xml:space="preserve"> Millet grains: Nutrit</w:t>
      </w:r>
      <w:r w:rsidR="0060317D" w:rsidRPr="0060317D">
        <w:rPr>
          <w:rFonts w:ascii="Times New Roman" w:hAnsi="Times New Roman" w:cs="Times New Roman"/>
          <w:color w:val="000000" w:themeColor="text1"/>
          <w:sz w:val="24"/>
          <w:szCs w:val="24"/>
        </w:rPr>
        <w:t xml:space="preserve">ional quality, processing, and </w:t>
      </w:r>
      <w:r w:rsidRPr="0060317D">
        <w:rPr>
          <w:rFonts w:ascii="Times New Roman" w:hAnsi="Times New Roman" w:cs="Times New Roman"/>
          <w:color w:val="000000" w:themeColor="text1"/>
          <w:sz w:val="24"/>
          <w:szCs w:val="24"/>
        </w:rPr>
        <w:t xml:space="preserve">potential </w:t>
      </w:r>
      <w:r w:rsidR="0060317D">
        <w:rPr>
          <w:rFonts w:ascii="Times New Roman" w:hAnsi="Times New Roman" w:cs="Times New Roman"/>
          <w:color w:val="000000" w:themeColor="text1"/>
          <w:sz w:val="24"/>
          <w:szCs w:val="24"/>
        </w:rPr>
        <w:tab/>
      </w:r>
      <w:r w:rsidRPr="0060317D">
        <w:rPr>
          <w:rFonts w:ascii="Times New Roman" w:hAnsi="Times New Roman" w:cs="Times New Roman"/>
          <w:color w:val="000000" w:themeColor="text1"/>
          <w:sz w:val="24"/>
          <w:szCs w:val="24"/>
        </w:rPr>
        <w:t xml:space="preserve">health benefits. </w:t>
      </w:r>
      <w:r w:rsidRPr="0060317D">
        <w:rPr>
          <w:rStyle w:val="Emphasis"/>
          <w:rFonts w:ascii="Times New Roman" w:hAnsi="Times New Roman" w:cs="Times New Roman"/>
          <w:color w:val="000000" w:themeColor="text1"/>
          <w:sz w:val="24"/>
          <w:szCs w:val="24"/>
        </w:rPr>
        <w:t>Comprehensive Reviews in Food Science and Food Safety, 12</w:t>
      </w:r>
      <w:r w:rsidRPr="0060317D">
        <w:rPr>
          <w:rFonts w:ascii="Times New Roman" w:hAnsi="Times New Roman" w:cs="Times New Roman"/>
          <w:color w:val="000000" w:themeColor="text1"/>
          <w:sz w:val="24"/>
          <w:szCs w:val="24"/>
        </w:rPr>
        <w:t>(3), 281-</w:t>
      </w:r>
      <w:r w:rsidR="0060317D">
        <w:rPr>
          <w:rFonts w:ascii="Times New Roman" w:hAnsi="Times New Roman" w:cs="Times New Roman"/>
          <w:color w:val="000000" w:themeColor="text1"/>
          <w:sz w:val="24"/>
          <w:szCs w:val="24"/>
        </w:rPr>
        <w:tab/>
      </w:r>
      <w:r w:rsidRPr="0060317D">
        <w:rPr>
          <w:rFonts w:ascii="Times New Roman" w:hAnsi="Times New Roman" w:cs="Times New Roman"/>
          <w:color w:val="000000" w:themeColor="text1"/>
          <w:sz w:val="24"/>
          <w:szCs w:val="24"/>
        </w:rPr>
        <w:t>295.</w:t>
      </w:r>
      <w:r w:rsidR="0060317D" w:rsidRPr="0060317D">
        <w:rPr>
          <w:rFonts w:ascii="Times New Roman" w:hAnsi="Times New Roman" w:cs="Times New Roman"/>
          <w:color w:val="000000" w:themeColor="text1"/>
          <w:sz w:val="24"/>
          <w:szCs w:val="24"/>
        </w:rPr>
        <w:t xml:space="preserve"> </w:t>
      </w:r>
      <w:r w:rsidR="0060317D" w:rsidRPr="0060317D">
        <w:rPr>
          <w:rFonts w:ascii="Times New Roman" w:hAnsi="Times New Roman" w:cs="Times New Roman"/>
          <w:color w:val="232323"/>
          <w:sz w:val="24"/>
          <w:szCs w:val="24"/>
          <w:shd w:val="clear" w:color="auto" w:fill="FFFFFF"/>
        </w:rPr>
        <w:t> </w:t>
      </w:r>
      <w:r w:rsidR="0060317D" w:rsidRPr="0060317D">
        <w:rPr>
          <w:rFonts w:ascii="Times New Roman" w:hAnsi="Times New Roman" w:cs="Times New Roman"/>
          <w:color w:val="000000" w:themeColor="text1"/>
          <w:sz w:val="24"/>
          <w:szCs w:val="24"/>
          <w:shd w:val="clear" w:color="auto" w:fill="FFFFFF"/>
        </w:rPr>
        <w:t>https://doi.org/10.1111/1541-4337.12012.</w:t>
      </w:r>
    </w:p>
    <w:p w:rsidR="00D538BB" w:rsidRPr="0060317D" w:rsidRDefault="00D538BB" w:rsidP="00D538BB">
      <w:pPr>
        <w:spacing w:before="100" w:beforeAutospacing="1" w:after="100" w:afterAutospacing="1" w:line="360" w:lineRule="auto"/>
        <w:jc w:val="both"/>
        <w:rPr>
          <w:rFonts w:ascii="Times New Roman" w:hAnsi="Times New Roman" w:cs="Times New Roman"/>
          <w:color w:val="000000" w:themeColor="text1"/>
          <w:sz w:val="24"/>
          <w:szCs w:val="24"/>
          <w:u w:val="single"/>
        </w:rPr>
      </w:pPr>
      <w:r w:rsidRPr="00321564">
        <w:rPr>
          <w:rStyle w:val="Strong"/>
          <w:rFonts w:ascii="Times New Roman" w:hAnsi="Times New Roman" w:cs="Times New Roman"/>
          <w:b w:val="0"/>
          <w:bCs w:val="0"/>
          <w:color w:val="000000" w:themeColor="text1"/>
          <w:sz w:val="24"/>
          <w:szCs w:val="24"/>
        </w:rPr>
        <w:t>Shahidi, F and Chandrasekara, A. (2013).</w:t>
      </w:r>
      <w:r w:rsidRPr="00321564">
        <w:rPr>
          <w:rFonts w:ascii="Times New Roman" w:hAnsi="Times New Roman" w:cs="Times New Roman"/>
          <w:color w:val="000000" w:themeColor="text1"/>
          <w:sz w:val="24"/>
          <w:szCs w:val="24"/>
        </w:rPr>
        <w:t xml:space="preserve"> Millet grain phenolics and their role in disease risk reduction and </w:t>
      </w:r>
      <w:r w:rsidRPr="00321564">
        <w:rPr>
          <w:rFonts w:ascii="Times New Roman" w:hAnsi="Times New Roman" w:cs="Times New Roman"/>
          <w:color w:val="000000" w:themeColor="text1"/>
          <w:sz w:val="24"/>
          <w:szCs w:val="24"/>
        </w:rPr>
        <w:tab/>
        <w:t xml:space="preserve">health promotion: A review. </w:t>
      </w:r>
      <w:r w:rsidRPr="00321564">
        <w:rPr>
          <w:rStyle w:val="Emphasis"/>
          <w:rFonts w:ascii="Times New Roman" w:hAnsi="Times New Roman" w:cs="Times New Roman"/>
          <w:color w:val="000000" w:themeColor="text1"/>
          <w:sz w:val="24"/>
          <w:szCs w:val="24"/>
        </w:rPr>
        <w:t>Journal of Functional Foods, 5</w:t>
      </w:r>
      <w:r w:rsidRPr="00321564">
        <w:rPr>
          <w:rFonts w:ascii="Times New Roman" w:hAnsi="Times New Roman" w:cs="Times New Roman"/>
          <w:color w:val="000000" w:themeColor="text1"/>
          <w:sz w:val="24"/>
          <w:szCs w:val="24"/>
        </w:rPr>
        <w:t>(2), 570-581.</w:t>
      </w:r>
      <w:r w:rsidR="0060317D">
        <w:rPr>
          <w:rFonts w:ascii="Times New Roman" w:hAnsi="Times New Roman" w:cs="Times New Roman"/>
          <w:color w:val="000000" w:themeColor="text1"/>
          <w:sz w:val="24"/>
          <w:szCs w:val="24"/>
        </w:rPr>
        <w:t xml:space="preserve"> </w:t>
      </w:r>
      <w:r w:rsidR="0060317D" w:rsidRPr="0060317D">
        <w:rPr>
          <w:rFonts w:ascii="Times New Roman" w:hAnsi="Times New Roman" w:cs="Times New Roman"/>
          <w:color w:val="000000" w:themeColor="text1"/>
          <w:sz w:val="24"/>
          <w:szCs w:val="24"/>
          <w:shd w:val="clear" w:color="auto" w:fill="FFFFFF"/>
        </w:rPr>
        <w:t>DOI:</w:t>
      </w:r>
      <w:hyperlink r:id="rId13" w:tgtFrame="_blank" w:history="1">
        <w:r w:rsidR="0060317D" w:rsidRPr="0060317D">
          <w:rPr>
            <w:rStyle w:val="Hyperlink"/>
            <w:rFonts w:ascii="Times New Roman" w:hAnsi="Times New Roman" w:cs="Times New Roman"/>
            <w:color w:val="000000" w:themeColor="text1"/>
            <w:sz w:val="24"/>
            <w:szCs w:val="24"/>
            <w:u w:val="none"/>
            <w:bdr w:val="none" w:sz="0" w:space="0" w:color="auto" w:frame="1"/>
            <w:shd w:val="clear" w:color="auto" w:fill="FFFFFF"/>
          </w:rPr>
          <w:t>10.1016/j.jff.2013.02.004</w:t>
        </w:r>
      </w:hyperlink>
      <w:r w:rsidR="0060317D">
        <w:rPr>
          <w:rFonts w:ascii="Times New Roman" w:hAnsi="Times New Roman" w:cs="Times New Roman"/>
          <w:color w:val="000000" w:themeColor="text1"/>
          <w:sz w:val="24"/>
          <w:szCs w:val="24"/>
        </w:rPr>
        <w:t>.</w:t>
      </w:r>
    </w:p>
    <w:p w:rsidR="00D538BB" w:rsidRPr="0060317D" w:rsidRDefault="00D538BB" w:rsidP="00D538BB">
      <w:pPr>
        <w:autoSpaceDE w:val="0"/>
        <w:autoSpaceDN w:val="0"/>
        <w:adjustRightInd w:val="0"/>
        <w:spacing w:after="0" w:line="360" w:lineRule="auto"/>
        <w:rPr>
          <w:rFonts w:ascii="Times New Roman" w:hAnsi="Times New Roman" w:cs="Times New Roman"/>
          <w:color w:val="000000" w:themeColor="text1"/>
          <w:sz w:val="24"/>
          <w:szCs w:val="24"/>
        </w:rPr>
      </w:pPr>
      <w:r w:rsidRPr="00321564">
        <w:rPr>
          <w:rStyle w:val="Strong"/>
          <w:rFonts w:ascii="Times New Roman" w:hAnsi="Times New Roman" w:cs="Times New Roman"/>
          <w:b w:val="0"/>
          <w:bCs w:val="0"/>
          <w:color w:val="000000" w:themeColor="text1"/>
          <w:sz w:val="24"/>
          <w:szCs w:val="24"/>
        </w:rPr>
        <w:t>Sharma, K. K and Ortiz, R. (2000).</w:t>
      </w:r>
      <w:r w:rsidRPr="00321564">
        <w:rPr>
          <w:rFonts w:ascii="Times New Roman" w:hAnsi="Times New Roman" w:cs="Times New Roman"/>
          <w:color w:val="000000" w:themeColor="text1"/>
          <w:sz w:val="24"/>
          <w:szCs w:val="24"/>
        </w:rPr>
        <w:t xml:space="preserve"> Program for the application of genetic trans</w:t>
      </w:r>
      <w:r w:rsidR="0060317D">
        <w:rPr>
          <w:rFonts w:ascii="Times New Roman" w:hAnsi="Times New Roman" w:cs="Times New Roman"/>
          <w:color w:val="000000" w:themeColor="text1"/>
          <w:sz w:val="24"/>
          <w:szCs w:val="24"/>
        </w:rPr>
        <w:t xml:space="preserve">formation for crop improvement </w:t>
      </w:r>
      <w:r w:rsidR="0060317D">
        <w:rPr>
          <w:rFonts w:ascii="Times New Roman" w:hAnsi="Times New Roman" w:cs="Times New Roman"/>
          <w:color w:val="000000" w:themeColor="text1"/>
          <w:sz w:val="24"/>
          <w:szCs w:val="24"/>
        </w:rPr>
        <w:tab/>
      </w:r>
      <w:r w:rsidRPr="00321564">
        <w:rPr>
          <w:rFonts w:ascii="Times New Roman" w:hAnsi="Times New Roman" w:cs="Times New Roman"/>
          <w:color w:val="000000" w:themeColor="text1"/>
          <w:sz w:val="24"/>
          <w:szCs w:val="24"/>
        </w:rPr>
        <w:t xml:space="preserve">in the semi-arid tropics. </w:t>
      </w:r>
      <w:r w:rsidRPr="00321564">
        <w:rPr>
          <w:rStyle w:val="Emphasis"/>
          <w:rFonts w:ascii="Times New Roman" w:hAnsi="Times New Roman" w:cs="Times New Roman"/>
          <w:color w:val="000000" w:themeColor="text1"/>
          <w:sz w:val="24"/>
          <w:szCs w:val="24"/>
        </w:rPr>
        <w:t>In Vitro Cellular &amp; Developmental Biology - Plant, 36</w:t>
      </w:r>
      <w:r w:rsidR="0060317D">
        <w:rPr>
          <w:rFonts w:ascii="Times New Roman" w:hAnsi="Times New Roman" w:cs="Times New Roman"/>
          <w:color w:val="000000" w:themeColor="text1"/>
          <w:sz w:val="24"/>
          <w:szCs w:val="24"/>
        </w:rPr>
        <w:t xml:space="preserve">(2), 83-92. </w:t>
      </w:r>
      <w:r w:rsidR="0060317D">
        <w:rPr>
          <w:rFonts w:ascii="Times New Roman" w:hAnsi="Times New Roman" w:cs="Times New Roman"/>
          <w:color w:val="000000" w:themeColor="text1"/>
          <w:sz w:val="24"/>
          <w:szCs w:val="24"/>
        </w:rPr>
        <w:tab/>
      </w:r>
      <w:r w:rsidR="0060317D" w:rsidRPr="0060317D">
        <w:rPr>
          <w:rFonts w:ascii="Times New Roman" w:hAnsi="Times New Roman" w:cs="Times New Roman"/>
          <w:color w:val="000000" w:themeColor="text1"/>
          <w:sz w:val="24"/>
          <w:szCs w:val="24"/>
          <w:shd w:val="clear" w:color="auto" w:fill="FFFFFF"/>
        </w:rPr>
        <w:t>DOI:</w:t>
      </w:r>
      <w:hyperlink r:id="rId14" w:tgtFrame="_blank" w:history="1">
        <w:r w:rsidR="0060317D" w:rsidRPr="0060317D">
          <w:rPr>
            <w:rStyle w:val="Hyperlink"/>
            <w:rFonts w:ascii="Times New Roman" w:hAnsi="Times New Roman" w:cs="Times New Roman"/>
            <w:color w:val="000000" w:themeColor="text1"/>
            <w:sz w:val="24"/>
            <w:szCs w:val="24"/>
            <w:u w:val="none"/>
            <w:bdr w:val="none" w:sz="0" w:space="0" w:color="auto" w:frame="1"/>
            <w:shd w:val="clear" w:color="auto" w:fill="FFFFFF"/>
          </w:rPr>
          <w:t>10.1007/s11627-000-0019-1</w:t>
        </w:r>
      </w:hyperlink>
      <w:r w:rsidR="0060317D" w:rsidRPr="0060317D">
        <w:rPr>
          <w:rFonts w:ascii="Times New Roman" w:hAnsi="Times New Roman" w:cs="Times New Roman"/>
          <w:color w:val="000000" w:themeColor="text1"/>
          <w:sz w:val="24"/>
          <w:szCs w:val="24"/>
        </w:rPr>
        <w:t>.</w:t>
      </w:r>
    </w:p>
    <w:p w:rsidR="00D538BB" w:rsidRPr="0060317D" w:rsidRDefault="00D538BB" w:rsidP="00D538BB">
      <w:pPr>
        <w:pStyle w:val="NormalWeb"/>
        <w:spacing w:line="360" w:lineRule="auto"/>
        <w:jc w:val="both"/>
        <w:rPr>
          <w:color w:val="0070C0"/>
        </w:rPr>
      </w:pPr>
      <w:r w:rsidRPr="0060317D">
        <w:rPr>
          <w:color w:val="000000" w:themeColor="text1"/>
        </w:rPr>
        <w:t>Singh, N. K., Kumar, S., Singh, B. K and Wajidhasan. (2020). Impact of cluster fr</w:t>
      </w:r>
      <w:r w:rsidR="0060317D">
        <w:rPr>
          <w:color w:val="000000" w:themeColor="text1"/>
        </w:rPr>
        <w:t xml:space="preserve">ontline demonstration on yield </w:t>
      </w:r>
      <w:r w:rsidR="0060317D">
        <w:rPr>
          <w:color w:val="000000" w:themeColor="text1"/>
        </w:rPr>
        <w:tab/>
      </w:r>
      <w:r w:rsidRPr="0060317D">
        <w:rPr>
          <w:color w:val="000000" w:themeColor="text1"/>
        </w:rPr>
        <w:t xml:space="preserve">of chickpea in Nalanda, Bihar. </w:t>
      </w:r>
      <w:r w:rsidRPr="0060317D">
        <w:rPr>
          <w:rStyle w:val="Emphasis"/>
          <w:color w:val="000000" w:themeColor="text1"/>
        </w:rPr>
        <w:t>Journal of Agricultural Search, 7</w:t>
      </w:r>
      <w:r w:rsidRPr="0060317D">
        <w:rPr>
          <w:color w:val="000000" w:themeColor="text1"/>
        </w:rPr>
        <w:t>(1):44-46.</w:t>
      </w:r>
      <w:r w:rsidR="0060317D" w:rsidRPr="0060317D">
        <w:rPr>
          <w:color w:val="000000" w:themeColor="text1"/>
        </w:rPr>
        <w:t xml:space="preserve"> </w:t>
      </w:r>
      <w:r w:rsidR="0060317D">
        <w:rPr>
          <w:color w:val="000000" w:themeColor="text1"/>
        </w:rPr>
        <w:tab/>
      </w:r>
      <w:r w:rsidR="0060317D" w:rsidRPr="0060317D">
        <w:rPr>
          <w:color w:val="000000" w:themeColor="text1"/>
          <w:shd w:val="clear" w:color="auto" w:fill="FFFFFF"/>
        </w:rPr>
        <w:t>DOI:</w:t>
      </w:r>
      <w:hyperlink r:id="rId15" w:tgtFrame="_blank" w:history="1">
        <w:r w:rsidR="0060317D" w:rsidRPr="0060317D">
          <w:rPr>
            <w:rStyle w:val="Hyperlink"/>
            <w:color w:val="000000" w:themeColor="text1"/>
            <w:u w:val="none"/>
            <w:bdr w:val="none" w:sz="0" w:space="0" w:color="auto" w:frame="1"/>
            <w:shd w:val="clear" w:color="auto" w:fill="FFFFFF"/>
          </w:rPr>
          <w:t>10.21921/jas.v7i01.17634</w:t>
        </w:r>
      </w:hyperlink>
      <w:r w:rsidR="0060317D" w:rsidRPr="0060317D">
        <w:rPr>
          <w:color w:val="000000" w:themeColor="text1"/>
        </w:rPr>
        <w:t>.</w:t>
      </w:r>
    </w:p>
    <w:sectPr w:rsidR="00D538BB" w:rsidRPr="0060317D" w:rsidSect="006E06D1">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A69" w:rsidRDefault="00EC1A69" w:rsidP="000A4B36">
      <w:pPr>
        <w:spacing w:after="0" w:line="240" w:lineRule="auto"/>
      </w:pPr>
      <w:r>
        <w:separator/>
      </w:r>
    </w:p>
  </w:endnote>
  <w:endnote w:type="continuationSeparator" w:id="0">
    <w:p w:rsidR="00EC1A69" w:rsidRDefault="00EC1A69" w:rsidP="000A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A69" w:rsidRDefault="00EC1A69" w:rsidP="000A4B36">
      <w:pPr>
        <w:spacing w:after="0" w:line="240" w:lineRule="auto"/>
      </w:pPr>
      <w:r>
        <w:separator/>
      </w:r>
    </w:p>
  </w:footnote>
  <w:footnote w:type="continuationSeparator" w:id="0">
    <w:p w:rsidR="00EC1A69" w:rsidRDefault="00EC1A69" w:rsidP="000A4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7544"/>
    <w:multiLevelType w:val="hybridMultilevel"/>
    <w:tmpl w:val="4F72585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739C9"/>
    <w:multiLevelType w:val="hybridMultilevel"/>
    <w:tmpl w:val="15441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F0137"/>
    <w:multiLevelType w:val="hybridMultilevel"/>
    <w:tmpl w:val="998E8ABC"/>
    <w:lvl w:ilvl="0" w:tplc="3B0EF5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755E4C"/>
    <w:multiLevelType w:val="multilevel"/>
    <w:tmpl w:val="BFB64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8C0C1E"/>
    <w:multiLevelType w:val="hybridMultilevel"/>
    <w:tmpl w:val="27B4A96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35912CF9"/>
    <w:multiLevelType w:val="hybridMultilevel"/>
    <w:tmpl w:val="416C20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586CE7"/>
    <w:multiLevelType w:val="multilevel"/>
    <w:tmpl w:val="65BA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834747"/>
    <w:multiLevelType w:val="multilevel"/>
    <w:tmpl w:val="5E88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2CF361F"/>
    <w:multiLevelType w:val="hybridMultilevel"/>
    <w:tmpl w:val="D7A0AD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5F692C"/>
    <w:multiLevelType w:val="multilevel"/>
    <w:tmpl w:val="088E6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604962"/>
    <w:multiLevelType w:val="multilevel"/>
    <w:tmpl w:val="061E0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CC1B64"/>
    <w:multiLevelType w:val="multilevel"/>
    <w:tmpl w:val="07188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800BF2"/>
    <w:multiLevelType w:val="hybridMultilevel"/>
    <w:tmpl w:val="5600D3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D680814"/>
    <w:multiLevelType w:val="multilevel"/>
    <w:tmpl w:val="538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2687F"/>
    <w:multiLevelType w:val="hybridMultilevel"/>
    <w:tmpl w:val="240C39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28E0AC8"/>
    <w:multiLevelType w:val="multilevel"/>
    <w:tmpl w:val="A858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1E4D14"/>
    <w:multiLevelType w:val="hybridMultilevel"/>
    <w:tmpl w:val="5714F2F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13"/>
  </w:num>
  <w:num w:numId="3">
    <w:abstractNumId w:val="12"/>
  </w:num>
  <w:num w:numId="4">
    <w:abstractNumId w:val="5"/>
  </w:num>
  <w:num w:numId="5">
    <w:abstractNumId w:val="4"/>
  </w:num>
  <w:num w:numId="6">
    <w:abstractNumId w:val="1"/>
  </w:num>
  <w:num w:numId="7">
    <w:abstractNumId w:val="0"/>
  </w:num>
  <w:num w:numId="8">
    <w:abstractNumId w:val="14"/>
  </w:num>
  <w:num w:numId="9">
    <w:abstractNumId w:val="2"/>
  </w:num>
  <w:num w:numId="10">
    <w:abstractNumId w:val="10"/>
  </w:num>
  <w:num w:numId="11">
    <w:abstractNumId w:val="9"/>
  </w:num>
  <w:num w:numId="12">
    <w:abstractNumId w:val="16"/>
  </w:num>
  <w:num w:numId="13">
    <w:abstractNumId w:val="8"/>
  </w:num>
  <w:num w:numId="14">
    <w:abstractNumId w:val="11"/>
  </w:num>
  <w:num w:numId="15">
    <w:abstractNumId w:val="15"/>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332"/>
    <w:rsid w:val="000028E7"/>
    <w:rsid w:val="00051B6D"/>
    <w:rsid w:val="00057613"/>
    <w:rsid w:val="00057635"/>
    <w:rsid w:val="00061A66"/>
    <w:rsid w:val="000730C0"/>
    <w:rsid w:val="00082D7E"/>
    <w:rsid w:val="00083FAC"/>
    <w:rsid w:val="00093E9D"/>
    <w:rsid w:val="0009446A"/>
    <w:rsid w:val="000A4B36"/>
    <w:rsid w:val="000B4031"/>
    <w:rsid w:val="000C2810"/>
    <w:rsid w:val="000E04FD"/>
    <w:rsid w:val="000E07BE"/>
    <w:rsid w:val="000E2284"/>
    <w:rsid w:val="000E3696"/>
    <w:rsid w:val="00111638"/>
    <w:rsid w:val="001203D9"/>
    <w:rsid w:val="0013305B"/>
    <w:rsid w:val="00134C10"/>
    <w:rsid w:val="00166BF0"/>
    <w:rsid w:val="00186B2D"/>
    <w:rsid w:val="001870BA"/>
    <w:rsid w:val="00187E1B"/>
    <w:rsid w:val="001912BB"/>
    <w:rsid w:val="00193FCC"/>
    <w:rsid w:val="001A6F14"/>
    <w:rsid w:val="001E0D41"/>
    <w:rsid w:val="001E7CCA"/>
    <w:rsid w:val="001F5DB8"/>
    <w:rsid w:val="00202FEA"/>
    <w:rsid w:val="00231F21"/>
    <w:rsid w:val="002320B9"/>
    <w:rsid w:val="00242CAD"/>
    <w:rsid w:val="00277B5B"/>
    <w:rsid w:val="00292D2E"/>
    <w:rsid w:val="002A730A"/>
    <w:rsid w:val="002B09FB"/>
    <w:rsid w:val="002D1420"/>
    <w:rsid w:val="002F7C46"/>
    <w:rsid w:val="003060EF"/>
    <w:rsid w:val="00321564"/>
    <w:rsid w:val="0034072D"/>
    <w:rsid w:val="00344D70"/>
    <w:rsid w:val="00363DC5"/>
    <w:rsid w:val="0037188C"/>
    <w:rsid w:val="0037697E"/>
    <w:rsid w:val="003933A2"/>
    <w:rsid w:val="00394349"/>
    <w:rsid w:val="003A6C86"/>
    <w:rsid w:val="003C290C"/>
    <w:rsid w:val="003D2A50"/>
    <w:rsid w:val="003E1B33"/>
    <w:rsid w:val="003E39EA"/>
    <w:rsid w:val="003F0BBD"/>
    <w:rsid w:val="003F68A1"/>
    <w:rsid w:val="004039B4"/>
    <w:rsid w:val="004213D9"/>
    <w:rsid w:val="00447155"/>
    <w:rsid w:val="00451B0F"/>
    <w:rsid w:val="004536E9"/>
    <w:rsid w:val="00480927"/>
    <w:rsid w:val="00487D2B"/>
    <w:rsid w:val="004B33C6"/>
    <w:rsid w:val="004B3CC1"/>
    <w:rsid w:val="004C7673"/>
    <w:rsid w:val="005112A0"/>
    <w:rsid w:val="00527907"/>
    <w:rsid w:val="00561873"/>
    <w:rsid w:val="00575C40"/>
    <w:rsid w:val="0057661C"/>
    <w:rsid w:val="00584A07"/>
    <w:rsid w:val="00586239"/>
    <w:rsid w:val="005A284D"/>
    <w:rsid w:val="005B3CB0"/>
    <w:rsid w:val="005C1AC3"/>
    <w:rsid w:val="005C74A5"/>
    <w:rsid w:val="005D7AFA"/>
    <w:rsid w:val="00602F9E"/>
    <w:rsid w:val="0060317D"/>
    <w:rsid w:val="00603459"/>
    <w:rsid w:val="00637801"/>
    <w:rsid w:val="0064304E"/>
    <w:rsid w:val="00654642"/>
    <w:rsid w:val="006635EE"/>
    <w:rsid w:val="00667E18"/>
    <w:rsid w:val="00670F11"/>
    <w:rsid w:val="006A7654"/>
    <w:rsid w:val="006B1219"/>
    <w:rsid w:val="006B75EA"/>
    <w:rsid w:val="006B7FBC"/>
    <w:rsid w:val="006C749E"/>
    <w:rsid w:val="006C7B0B"/>
    <w:rsid w:val="006E06D1"/>
    <w:rsid w:val="006E209F"/>
    <w:rsid w:val="006F6B3A"/>
    <w:rsid w:val="007052FD"/>
    <w:rsid w:val="00711AAB"/>
    <w:rsid w:val="00713302"/>
    <w:rsid w:val="00713E17"/>
    <w:rsid w:val="00730D3E"/>
    <w:rsid w:val="00731E56"/>
    <w:rsid w:val="00734683"/>
    <w:rsid w:val="007458F8"/>
    <w:rsid w:val="00752543"/>
    <w:rsid w:val="00764877"/>
    <w:rsid w:val="00766DF1"/>
    <w:rsid w:val="00767C56"/>
    <w:rsid w:val="007724A3"/>
    <w:rsid w:val="007773C4"/>
    <w:rsid w:val="00796F39"/>
    <w:rsid w:val="007B6E2A"/>
    <w:rsid w:val="007B7621"/>
    <w:rsid w:val="007C09AD"/>
    <w:rsid w:val="007C1949"/>
    <w:rsid w:val="007D2639"/>
    <w:rsid w:val="007F4A7F"/>
    <w:rsid w:val="007F575E"/>
    <w:rsid w:val="00800057"/>
    <w:rsid w:val="00822974"/>
    <w:rsid w:val="00827C24"/>
    <w:rsid w:val="00850251"/>
    <w:rsid w:val="008657C2"/>
    <w:rsid w:val="008E2043"/>
    <w:rsid w:val="008E34A0"/>
    <w:rsid w:val="008E4E7D"/>
    <w:rsid w:val="009024DF"/>
    <w:rsid w:val="009036BC"/>
    <w:rsid w:val="00913EE9"/>
    <w:rsid w:val="00915382"/>
    <w:rsid w:val="009243AF"/>
    <w:rsid w:val="00925604"/>
    <w:rsid w:val="009271C4"/>
    <w:rsid w:val="00927500"/>
    <w:rsid w:val="00947477"/>
    <w:rsid w:val="009550D3"/>
    <w:rsid w:val="0096056E"/>
    <w:rsid w:val="009766D1"/>
    <w:rsid w:val="00984538"/>
    <w:rsid w:val="009A2062"/>
    <w:rsid w:val="009C2614"/>
    <w:rsid w:val="009C4D1E"/>
    <w:rsid w:val="009C73DE"/>
    <w:rsid w:val="009D10EB"/>
    <w:rsid w:val="009E02CB"/>
    <w:rsid w:val="009F1AF7"/>
    <w:rsid w:val="009F1DD9"/>
    <w:rsid w:val="00A14CA3"/>
    <w:rsid w:val="00A178A1"/>
    <w:rsid w:val="00A26772"/>
    <w:rsid w:val="00A45E46"/>
    <w:rsid w:val="00A619F1"/>
    <w:rsid w:val="00A813DB"/>
    <w:rsid w:val="00A84FF0"/>
    <w:rsid w:val="00A858D3"/>
    <w:rsid w:val="00A97EE3"/>
    <w:rsid w:val="00AB27DB"/>
    <w:rsid w:val="00AE0639"/>
    <w:rsid w:val="00AE4CBA"/>
    <w:rsid w:val="00AE58BF"/>
    <w:rsid w:val="00AF28DA"/>
    <w:rsid w:val="00AF56FA"/>
    <w:rsid w:val="00AF7753"/>
    <w:rsid w:val="00B026C0"/>
    <w:rsid w:val="00B1268C"/>
    <w:rsid w:val="00B20275"/>
    <w:rsid w:val="00B253CB"/>
    <w:rsid w:val="00B340C5"/>
    <w:rsid w:val="00B52747"/>
    <w:rsid w:val="00B5468C"/>
    <w:rsid w:val="00B62CF5"/>
    <w:rsid w:val="00B677FC"/>
    <w:rsid w:val="00B77D9F"/>
    <w:rsid w:val="00B8632B"/>
    <w:rsid w:val="00BC21A9"/>
    <w:rsid w:val="00BD62B6"/>
    <w:rsid w:val="00BD7670"/>
    <w:rsid w:val="00BE795C"/>
    <w:rsid w:val="00C055CC"/>
    <w:rsid w:val="00C1170B"/>
    <w:rsid w:val="00C13304"/>
    <w:rsid w:val="00C55F44"/>
    <w:rsid w:val="00C744B6"/>
    <w:rsid w:val="00C82875"/>
    <w:rsid w:val="00C83881"/>
    <w:rsid w:val="00C935E7"/>
    <w:rsid w:val="00CB6332"/>
    <w:rsid w:val="00CC4437"/>
    <w:rsid w:val="00CC6B06"/>
    <w:rsid w:val="00CD24F6"/>
    <w:rsid w:val="00CD33D8"/>
    <w:rsid w:val="00CE6BEF"/>
    <w:rsid w:val="00D00B5D"/>
    <w:rsid w:val="00D02B16"/>
    <w:rsid w:val="00D1655F"/>
    <w:rsid w:val="00D27F83"/>
    <w:rsid w:val="00D3004D"/>
    <w:rsid w:val="00D30AF4"/>
    <w:rsid w:val="00D30F7D"/>
    <w:rsid w:val="00D322E7"/>
    <w:rsid w:val="00D35AA2"/>
    <w:rsid w:val="00D370ED"/>
    <w:rsid w:val="00D4448A"/>
    <w:rsid w:val="00D44FD2"/>
    <w:rsid w:val="00D538BB"/>
    <w:rsid w:val="00D77174"/>
    <w:rsid w:val="00D84BBF"/>
    <w:rsid w:val="00D949D2"/>
    <w:rsid w:val="00D97A10"/>
    <w:rsid w:val="00DA36BC"/>
    <w:rsid w:val="00DB0DAE"/>
    <w:rsid w:val="00DB3DAD"/>
    <w:rsid w:val="00DB6813"/>
    <w:rsid w:val="00DD22A8"/>
    <w:rsid w:val="00DF6315"/>
    <w:rsid w:val="00E138B7"/>
    <w:rsid w:val="00E2157D"/>
    <w:rsid w:val="00E22273"/>
    <w:rsid w:val="00E30A9D"/>
    <w:rsid w:val="00E43424"/>
    <w:rsid w:val="00E4372B"/>
    <w:rsid w:val="00E56231"/>
    <w:rsid w:val="00E728F1"/>
    <w:rsid w:val="00EA0E24"/>
    <w:rsid w:val="00EA2413"/>
    <w:rsid w:val="00EA5B65"/>
    <w:rsid w:val="00EB4CAC"/>
    <w:rsid w:val="00EB6742"/>
    <w:rsid w:val="00EC006D"/>
    <w:rsid w:val="00EC1A69"/>
    <w:rsid w:val="00EC3A99"/>
    <w:rsid w:val="00EC7244"/>
    <w:rsid w:val="00ED1DF2"/>
    <w:rsid w:val="00ED22FD"/>
    <w:rsid w:val="00F0004B"/>
    <w:rsid w:val="00F107F4"/>
    <w:rsid w:val="00F114FD"/>
    <w:rsid w:val="00F16CAF"/>
    <w:rsid w:val="00F4333A"/>
    <w:rsid w:val="00F61EBE"/>
    <w:rsid w:val="00F74B4D"/>
    <w:rsid w:val="00F81A05"/>
    <w:rsid w:val="00FA54EB"/>
    <w:rsid w:val="00FB468A"/>
    <w:rsid w:val="00FD0348"/>
    <w:rsid w:val="00FD1C31"/>
    <w:rsid w:val="00FD6854"/>
    <w:rsid w:val="00FE0330"/>
    <w:rsid w:val="00FF108C"/>
    <w:rsid w:val="00FF501B"/>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F3AA0E-B6B2-46A1-8455-F7981D45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332"/>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CB6332"/>
  </w:style>
  <w:style w:type="paragraph" w:styleId="BalloonText">
    <w:name w:val="Balloon Text"/>
    <w:basedOn w:val="Normal"/>
    <w:link w:val="BalloonTextChar"/>
    <w:uiPriority w:val="99"/>
    <w:semiHidden/>
    <w:unhideWhenUsed/>
    <w:rsid w:val="00AF7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753"/>
    <w:rPr>
      <w:rFonts w:ascii="Tahoma" w:eastAsiaTheme="minorEastAsia" w:hAnsi="Tahoma" w:cs="Tahoma"/>
      <w:sz w:val="16"/>
      <w:szCs w:val="16"/>
      <w:lang w:eastAsia="en-IN"/>
    </w:rPr>
  </w:style>
  <w:style w:type="paragraph" w:styleId="NormalWeb">
    <w:name w:val="Normal (Web)"/>
    <w:basedOn w:val="Normal"/>
    <w:uiPriority w:val="99"/>
    <w:unhideWhenUsed/>
    <w:rsid w:val="00AF775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AF7753"/>
    <w:rPr>
      <w:b/>
      <w:bCs/>
    </w:rPr>
  </w:style>
  <w:style w:type="paragraph" w:styleId="NoSpacing">
    <w:name w:val="No Spacing"/>
    <w:uiPriority w:val="1"/>
    <w:qFormat/>
    <w:rsid w:val="00277B5B"/>
    <w:pPr>
      <w:spacing w:after="0" w:line="240" w:lineRule="auto"/>
    </w:pPr>
    <w:rPr>
      <w:rFonts w:ascii="Calibri" w:eastAsia="Calibri" w:hAnsi="Calibri" w:cs="Gautami"/>
      <w:lang w:val="en-US" w:bidi="ar-SA"/>
    </w:rPr>
  </w:style>
  <w:style w:type="paragraph" w:styleId="Title">
    <w:name w:val="Title"/>
    <w:basedOn w:val="Normal"/>
    <w:next w:val="Normal"/>
    <w:link w:val="TitleChar"/>
    <w:uiPriority w:val="10"/>
    <w:qFormat/>
    <w:rsid w:val="00277B5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277B5B"/>
    <w:rPr>
      <w:rFonts w:asciiTheme="majorHAnsi" w:eastAsiaTheme="majorEastAsia" w:hAnsiTheme="majorHAnsi" w:cstheme="majorBidi"/>
      <w:color w:val="323E4F" w:themeColor="text2" w:themeShade="BF"/>
      <w:spacing w:val="5"/>
      <w:kern w:val="28"/>
      <w:sz w:val="52"/>
      <w:szCs w:val="52"/>
      <w:lang w:val="en-US"/>
    </w:rPr>
  </w:style>
  <w:style w:type="table" w:styleId="TableGrid">
    <w:name w:val="Table Grid"/>
    <w:basedOn w:val="TableNormal"/>
    <w:uiPriority w:val="39"/>
    <w:rsid w:val="00277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77B5B"/>
    <w:pPr>
      <w:ind w:left="720"/>
      <w:contextualSpacing/>
    </w:pPr>
    <w:rPr>
      <w:rFonts w:ascii="Calibri" w:eastAsia="Calibri" w:hAnsi="Calibri" w:cs="Gautami"/>
      <w:lang w:val="en-US" w:eastAsia="en-US" w:bidi="ar-SA"/>
    </w:rPr>
  </w:style>
  <w:style w:type="character" w:styleId="PlaceholderText">
    <w:name w:val="Placeholder Text"/>
    <w:basedOn w:val="DefaultParagraphFont"/>
    <w:uiPriority w:val="99"/>
    <w:semiHidden/>
    <w:rsid w:val="00277B5B"/>
    <w:rPr>
      <w:color w:val="808080"/>
    </w:rPr>
  </w:style>
  <w:style w:type="character" w:styleId="Emphasis">
    <w:name w:val="Emphasis"/>
    <w:basedOn w:val="DefaultParagraphFont"/>
    <w:uiPriority w:val="20"/>
    <w:qFormat/>
    <w:rsid w:val="00277B5B"/>
    <w:rPr>
      <w:i/>
      <w:iCs/>
    </w:rPr>
  </w:style>
  <w:style w:type="character" w:styleId="Hyperlink">
    <w:name w:val="Hyperlink"/>
    <w:basedOn w:val="DefaultParagraphFont"/>
    <w:uiPriority w:val="99"/>
    <w:unhideWhenUsed/>
    <w:rsid w:val="00277B5B"/>
    <w:rPr>
      <w:color w:val="0000FF"/>
      <w:u w:val="single"/>
    </w:rPr>
  </w:style>
  <w:style w:type="paragraph" w:styleId="Header">
    <w:name w:val="header"/>
    <w:basedOn w:val="Normal"/>
    <w:link w:val="HeaderChar"/>
    <w:uiPriority w:val="99"/>
    <w:unhideWhenUsed/>
    <w:rsid w:val="00277B5B"/>
    <w:pPr>
      <w:tabs>
        <w:tab w:val="center" w:pos="4513"/>
        <w:tab w:val="right" w:pos="9026"/>
      </w:tabs>
      <w:spacing w:after="0" w:line="240" w:lineRule="auto"/>
    </w:pPr>
    <w:rPr>
      <w:rFonts w:eastAsiaTheme="minorHAnsi"/>
      <w:kern w:val="2"/>
      <w:lang w:eastAsia="en-US" w:bidi="ar-SA"/>
    </w:rPr>
  </w:style>
  <w:style w:type="character" w:customStyle="1" w:styleId="HeaderChar">
    <w:name w:val="Header Char"/>
    <w:basedOn w:val="DefaultParagraphFont"/>
    <w:link w:val="Header"/>
    <w:uiPriority w:val="99"/>
    <w:rsid w:val="00277B5B"/>
    <w:rPr>
      <w:kern w:val="2"/>
      <w:lang w:bidi="ar-SA"/>
    </w:rPr>
  </w:style>
  <w:style w:type="paragraph" w:styleId="Footer">
    <w:name w:val="footer"/>
    <w:basedOn w:val="Normal"/>
    <w:link w:val="FooterChar"/>
    <w:uiPriority w:val="99"/>
    <w:unhideWhenUsed/>
    <w:rsid w:val="00277B5B"/>
    <w:pPr>
      <w:tabs>
        <w:tab w:val="center" w:pos="4513"/>
        <w:tab w:val="right" w:pos="9026"/>
      </w:tabs>
      <w:spacing w:after="0" w:line="240" w:lineRule="auto"/>
    </w:pPr>
    <w:rPr>
      <w:rFonts w:eastAsiaTheme="minorHAnsi"/>
      <w:kern w:val="2"/>
      <w:lang w:eastAsia="en-US" w:bidi="ar-SA"/>
    </w:rPr>
  </w:style>
  <w:style w:type="character" w:customStyle="1" w:styleId="FooterChar">
    <w:name w:val="Footer Char"/>
    <w:basedOn w:val="DefaultParagraphFont"/>
    <w:link w:val="Footer"/>
    <w:uiPriority w:val="99"/>
    <w:rsid w:val="00277B5B"/>
    <w:rPr>
      <w:kern w:val="2"/>
      <w:lang w:bidi="ar-SA"/>
    </w:rPr>
  </w:style>
  <w:style w:type="character" w:customStyle="1" w:styleId="mord">
    <w:name w:val="mord"/>
    <w:basedOn w:val="DefaultParagraphFont"/>
    <w:rsid w:val="00277B5B"/>
  </w:style>
  <w:style w:type="character" w:customStyle="1" w:styleId="mrel">
    <w:name w:val="mrel"/>
    <w:basedOn w:val="DefaultParagraphFont"/>
    <w:rsid w:val="00277B5B"/>
  </w:style>
  <w:style w:type="character" w:customStyle="1" w:styleId="mbin">
    <w:name w:val="mbin"/>
    <w:basedOn w:val="DefaultParagraphFont"/>
    <w:rsid w:val="00277B5B"/>
  </w:style>
  <w:style w:type="character" w:customStyle="1" w:styleId="html-italic">
    <w:name w:val="html-italic"/>
    <w:basedOn w:val="DefaultParagraphFont"/>
    <w:rsid w:val="00277B5B"/>
  </w:style>
  <w:style w:type="character" w:customStyle="1" w:styleId="epub-state">
    <w:name w:val="epub-state"/>
    <w:basedOn w:val="DefaultParagraphFont"/>
    <w:rsid w:val="00277B5B"/>
  </w:style>
  <w:style w:type="character" w:customStyle="1" w:styleId="epub-date">
    <w:name w:val="epub-date"/>
    <w:basedOn w:val="DefaultParagraphFont"/>
    <w:rsid w:val="00277B5B"/>
  </w:style>
  <w:style w:type="character" w:customStyle="1" w:styleId="refhyper">
    <w:name w:val="refhyper"/>
    <w:basedOn w:val="DefaultParagraphFont"/>
    <w:rsid w:val="00277B5B"/>
  </w:style>
  <w:style w:type="character" w:customStyle="1" w:styleId="overflow-hidden">
    <w:name w:val="overflow-hidden"/>
    <w:basedOn w:val="DefaultParagraphFont"/>
    <w:rsid w:val="00D322E7"/>
  </w:style>
  <w:style w:type="paragraph" w:customStyle="1" w:styleId="Default">
    <w:name w:val="Default"/>
    <w:rsid w:val="00D322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DB0DA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68050">
      <w:bodyDiv w:val="1"/>
      <w:marLeft w:val="0"/>
      <w:marRight w:val="0"/>
      <w:marTop w:val="0"/>
      <w:marBottom w:val="0"/>
      <w:divBdr>
        <w:top w:val="none" w:sz="0" w:space="0" w:color="auto"/>
        <w:left w:val="none" w:sz="0" w:space="0" w:color="auto"/>
        <w:bottom w:val="none" w:sz="0" w:space="0" w:color="auto"/>
        <w:right w:val="none" w:sz="0" w:space="0" w:color="auto"/>
      </w:divBdr>
      <w:divsChild>
        <w:div w:id="1195775368">
          <w:marLeft w:val="0"/>
          <w:marRight w:val="0"/>
          <w:marTop w:val="0"/>
          <w:marBottom w:val="0"/>
          <w:divBdr>
            <w:top w:val="none" w:sz="0" w:space="0" w:color="auto"/>
            <w:left w:val="none" w:sz="0" w:space="0" w:color="auto"/>
            <w:bottom w:val="none" w:sz="0" w:space="0" w:color="auto"/>
            <w:right w:val="none" w:sz="0" w:space="0" w:color="auto"/>
          </w:divBdr>
          <w:divsChild>
            <w:div w:id="2111970932">
              <w:marLeft w:val="0"/>
              <w:marRight w:val="0"/>
              <w:marTop w:val="0"/>
              <w:marBottom w:val="0"/>
              <w:divBdr>
                <w:top w:val="none" w:sz="0" w:space="0" w:color="auto"/>
                <w:left w:val="none" w:sz="0" w:space="0" w:color="auto"/>
                <w:bottom w:val="none" w:sz="0" w:space="0" w:color="auto"/>
                <w:right w:val="none" w:sz="0" w:space="0" w:color="auto"/>
              </w:divBdr>
              <w:divsChild>
                <w:div w:id="1583562736">
                  <w:marLeft w:val="0"/>
                  <w:marRight w:val="0"/>
                  <w:marTop w:val="0"/>
                  <w:marBottom w:val="0"/>
                  <w:divBdr>
                    <w:top w:val="none" w:sz="0" w:space="0" w:color="auto"/>
                    <w:left w:val="none" w:sz="0" w:space="0" w:color="auto"/>
                    <w:bottom w:val="none" w:sz="0" w:space="0" w:color="auto"/>
                    <w:right w:val="none" w:sz="0" w:space="0" w:color="auto"/>
                  </w:divBdr>
                  <w:divsChild>
                    <w:div w:id="456338818">
                      <w:marLeft w:val="0"/>
                      <w:marRight w:val="0"/>
                      <w:marTop w:val="0"/>
                      <w:marBottom w:val="0"/>
                      <w:divBdr>
                        <w:top w:val="none" w:sz="0" w:space="0" w:color="auto"/>
                        <w:left w:val="none" w:sz="0" w:space="0" w:color="auto"/>
                        <w:bottom w:val="none" w:sz="0" w:space="0" w:color="auto"/>
                        <w:right w:val="none" w:sz="0" w:space="0" w:color="auto"/>
                      </w:divBdr>
                      <w:divsChild>
                        <w:div w:id="2020152507">
                          <w:marLeft w:val="0"/>
                          <w:marRight w:val="0"/>
                          <w:marTop w:val="0"/>
                          <w:marBottom w:val="0"/>
                          <w:divBdr>
                            <w:top w:val="none" w:sz="0" w:space="0" w:color="auto"/>
                            <w:left w:val="none" w:sz="0" w:space="0" w:color="auto"/>
                            <w:bottom w:val="none" w:sz="0" w:space="0" w:color="auto"/>
                            <w:right w:val="none" w:sz="0" w:space="0" w:color="auto"/>
                          </w:divBdr>
                          <w:divsChild>
                            <w:div w:id="196163194">
                              <w:marLeft w:val="0"/>
                              <w:marRight w:val="0"/>
                              <w:marTop w:val="0"/>
                              <w:marBottom w:val="0"/>
                              <w:divBdr>
                                <w:top w:val="none" w:sz="0" w:space="0" w:color="auto"/>
                                <w:left w:val="none" w:sz="0" w:space="0" w:color="auto"/>
                                <w:bottom w:val="none" w:sz="0" w:space="0" w:color="auto"/>
                                <w:right w:val="none" w:sz="0" w:space="0" w:color="auto"/>
                              </w:divBdr>
                              <w:divsChild>
                                <w:div w:id="1535078535">
                                  <w:marLeft w:val="0"/>
                                  <w:marRight w:val="0"/>
                                  <w:marTop w:val="0"/>
                                  <w:marBottom w:val="0"/>
                                  <w:divBdr>
                                    <w:top w:val="none" w:sz="0" w:space="0" w:color="auto"/>
                                    <w:left w:val="none" w:sz="0" w:space="0" w:color="auto"/>
                                    <w:bottom w:val="none" w:sz="0" w:space="0" w:color="auto"/>
                                    <w:right w:val="none" w:sz="0" w:space="0" w:color="auto"/>
                                  </w:divBdr>
                                  <w:divsChild>
                                    <w:div w:id="10640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5099">
                          <w:marLeft w:val="0"/>
                          <w:marRight w:val="0"/>
                          <w:marTop w:val="0"/>
                          <w:marBottom w:val="0"/>
                          <w:divBdr>
                            <w:top w:val="none" w:sz="0" w:space="0" w:color="auto"/>
                            <w:left w:val="none" w:sz="0" w:space="0" w:color="auto"/>
                            <w:bottom w:val="none" w:sz="0" w:space="0" w:color="auto"/>
                            <w:right w:val="none" w:sz="0" w:space="0" w:color="auto"/>
                          </w:divBdr>
                          <w:divsChild>
                            <w:div w:id="668681137">
                              <w:marLeft w:val="0"/>
                              <w:marRight w:val="0"/>
                              <w:marTop w:val="0"/>
                              <w:marBottom w:val="0"/>
                              <w:divBdr>
                                <w:top w:val="none" w:sz="0" w:space="0" w:color="auto"/>
                                <w:left w:val="none" w:sz="0" w:space="0" w:color="auto"/>
                                <w:bottom w:val="none" w:sz="0" w:space="0" w:color="auto"/>
                                <w:right w:val="none" w:sz="0" w:space="0" w:color="auto"/>
                              </w:divBdr>
                              <w:divsChild>
                                <w:div w:id="1682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238072">
      <w:bodyDiv w:val="1"/>
      <w:marLeft w:val="0"/>
      <w:marRight w:val="0"/>
      <w:marTop w:val="0"/>
      <w:marBottom w:val="0"/>
      <w:divBdr>
        <w:top w:val="none" w:sz="0" w:space="0" w:color="auto"/>
        <w:left w:val="none" w:sz="0" w:space="0" w:color="auto"/>
        <w:bottom w:val="none" w:sz="0" w:space="0" w:color="auto"/>
        <w:right w:val="none" w:sz="0" w:space="0" w:color="auto"/>
      </w:divBdr>
    </w:div>
    <w:div w:id="357003440">
      <w:bodyDiv w:val="1"/>
      <w:marLeft w:val="0"/>
      <w:marRight w:val="0"/>
      <w:marTop w:val="0"/>
      <w:marBottom w:val="0"/>
      <w:divBdr>
        <w:top w:val="none" w:sz="0" w:space="0" w:color="auto"/>
        <w:left w:val="none" w:sz="0" w:space="0" w:color="auto"/>
        <w:bottom w:val="none" w:sz="0" w:space="0" w:color="auto"/>
        <w:right w:val="none" w:sz="0" w:space="0" w:color="auto"/>
      </w:divBdr>
    </w:div>
    <w:div w:id="395400631">
      <w:bodyDiv w:val="1"/>
      <w:marLeft w:val="0"/>
      <w:marRight w:val="0"/>
      <w:marTop w:val="0"/>
      <w:marBottom w:val="0"/>
      <w:divBdr>
        <w:top w:val="none" w:sz="0" w:space="0" w:color="auto"/>
        <w:left w:val="none" w:sz="0" w:space="0" w:color="auto"/>
        <w:bottom w:val="none" w:sz="0" w:space="0" w:color="auto"/>
        <w:right w:val="none" w:sz="0" w:space="0" w:color="auto"/>
      </w:divBdr>
    </w:div>
    <w:div w:id="487794409">
      <w:bodyDiv w:val="1"/>
      <w:marLeft w:val="0"/>
      <w:marRight w:val="0"/>
      <w:marTop w:val="0"/>
      <w:marBottom w:val="0"/>
      <w:divBdr>
        <w:top w:val="none" w:sz="0" w:space="0" w:color="auto"/>
        <w:left w:val="none" w:sz="0" w:space="0" w:color="auto"/>
        <w:bottom w:val="none" w:sz="0" w:space="0" w:color="auto"/>
        <w:right w:val="none" w:sz="0" w:space="0" w:color="auto"/>
      </w:divBdr>
    </w:div>
    <w:div w:id="553807615">
      <w:bodyDiv w:val="1"/>
      <w:marLeft w:val="0"/>
      <w:marRight w:val="0"/>
      <w:marTop w:val="0"/>
      <w:marBottom w:val="0"/>
      <w:divBdr>
        <w:top w:val="none" w:sz="0" w:space="0" w:color="auto"/>
        <w:left w:val="none" w:sz="0" w:space="0" w:color="auto"/>
        <w:bottom w:val="none" w:sz="0" w:space="0" w:color="auto"/>
        <w:right w:val="none" w:sz="0" w:space="0" w:color="auto"/>
      </w:divBdr>
    </w:div>
    <w:div w:id="816842025">
      <w:bodyDiv w:val="1"/>
      <w:marLeft w:val="0"/>
      <w:marRight w:val="0"/>
      <w:marTop w:val="0"/>
      <w:marBottom w:val="0"/>
      <w:divBdr>
        <w:top w:val="none" w:sz="0" w:space="0" w:color="auto"/>
        <w:left w:val="none" w:sz="0" w:space="0" w:color="auto"/>
        <w:bottom w:val="none" w:sz="0" w:space="0" w:color="auto"/>
        <w:right w:val="none" w:sz="0" w:space="0" w:color="auto"/>
      </w:divBdr>
    </w:div>
    <w:div w:id="925456518">
      <w:bodyDiv w:val="1"/>
      <w:marLeft w:val="0"/>
      <w:marRight w:val="0"/>
      <w:marTop w:val="0"/>
      <w:marBottom w:val="0"/>
      <w:divBdr>
        <w:top w:val="none" w:sz="0" w:space="0" w:color="auto"/>
        <w:left w:val="none" w:sz="0" w:space="0" w:color="auto"/>
        <w:bottom w:val="none" w:sz="0" w:space="0" w:color="auto"/>
        <w:right w:val="none" w:sz="0" w:space="0" w:color="auto"/>
      </w:divBdr>
    </w:div>
    <w:div w:id="1149521085">
      <w:bodyDiv w:val="1"/>
      <w:marLeft w:val="0"/>
      <w:marRight w:val="0"/>
      <w:marTop w:val="0"/>
      <w:marBottom w:val="0"/>
      <w:divBdr>
        <w:top w:val="none" w:sz="0" w:space="0" w:color="auto"/>
        <w:left w:val="none" w:sz="0" w:space="0" w:color="auto"/>
        <w:bottom w:val="none" w:sz="0" w:space="0" w:color="auto"/>
        <w:right w:val="none" w:sz="0" w:space="0" w:color="auto"/>
      </w:divBdr>
    </w:div>
    <w:div w:id="1221087723">
      <w:bodyDiv w:val="1"/>
      <w:marLeft w:val="0"/>
      <w:marRight w:val="0"/>
      <w:marTop w:val="0"/>
      <w:marBottom w:val="0"/>
      <w:divBdr>
        <w:top w:val="none" w:sz="0" w:space="0" w:color="auto"/>
        <w:left w:val="none" w:sz="0" w:space="0" w:color="auto"/>
        <w:bottom w:val="none" w:sz="0" w:space="0" w:color="auto"/>
        <w:right w:val="none" w:sz="0" w:space="0" w:color="auto"/>
      </w:divBdr>
    </w:div>
    <w:div w:id="1346444205">
      <w:bodyDiv w:val="1"/>
      <w:marLeft w:val="0"/>
      <w:marRight w:val="0"/>
      <w:marTop w:val="0"/>
      <w:marBottom w:val="0"/>
      <w:divBdr>
        <w:top w:val="none" w:sz="0" w:space="0" w:color="auto"/>
        <w:left w:val="none" w:sz="0" w:space="0" w:color="auto"/>
        <w:bottom w:val="none" w:sz="0" w:space="0" w:color="auto"/>
        <w:right w:val="none" w:sz="0" w:space="0" w:color="auto"/>
      </w:divBdr>
    </w:div>
    <w:div w:id="1618946177">
      <w:bodyDiv w:val="1"/>
      <w:marLeft w:val="0"/>
      <w:marRight w:val="0"/>
      <w:marTop w:val="0"/>
      <w:marBottom w:val="0"/>
      <w:divBdr>
        <w:top w:val="none" w:sz="0" w:space="0" w:color="auto"/>
        <w:left w:val="none" w:sz="0" w:space="0" w:color="auto"/>
        <w:bottom w:val="none" w:sz="0" w:space="0" w:color="auto"/>
        <w:right w:val="none" w:sz="0" w:space="0" w:color="auto"/>
      </w:divBdr>
    </w:div>
    <w:div w:id="204926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x.doi.org/10.1016/j.jff.2013.02.00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x.doi.org/10.48165/IJEE.2022.582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dx.doi.org/10.21921/jas.v7i01.17634"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x.doi.org/10.1007/s11627-000-001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2937645135990786"/>
          <c:w val="0.93888888888888888"/>
          <c:h val="0.75928950239728066"/>
        </c:manualLayout>
      </c:layout>
      <c:barChart>
        <c:barDir val="col"/>
        <c:grouping val="clustered"/>
        <c:varyColors val="0"/>
        <c:ser>
          <c:idx val="0"/>
          <c:order val="0"/>
          <c:tx>
            <c:strRef>
              <c:f>Sheet1!$H$3</c:f>
              <c:strCache>
                <c:ptCount val="1"/>
                <c:pt idx="0">
                  <c:v>Technology gap (kg/ha)</c:v>
                </c:pt>
              </c:strCache>
            </c:strRef>
          </c:tx>
          <c:spPr>
            <a:solidFill>
              <a:srgbClr val="00B050"/>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Sheet1!$G$4:$G$7</c:f>
              <c:strCache>
                <c:ptCount val="4"/>
                <c:pt idx="0">
                  <c:v>2022-23</c:v>
                </c:pt>
                <c:pt idx="1">
                  <c:v>2023-24</c:v>
                </c:pt>
                <c:pt idx="2">
                  <c:v>2024-25</c:v>
                </c:pt>
                <c:pt idx="3">
                  <c:v>Pooled</c:v>
                </c:pt>
              </c:strCache>
            </c:strRef>
          </c:cat>
          <c:val>
            <c:numRef>
              <c:f>Sheet1!$H$4:$H$7</c:f>
              <c:numCache>
                <c:formatCode>General</c:formatCode>
                <c:ptCount val="4"/>
                <c:pt idx="0">
                  <c:v>816</c:v>
                </c:pt>
                <c:pt idx="1">
                  <c:v>992</c:v>
                </c:pt>
                <c:pt idx="2">
                  <c:v>1526</c:v>
                </c:pt>
                <c:pt idx="3">
                  <c:v>1111</c:v>
                </c:pt>
              </c:numCache>
            </c:numRef>
          </c:val>
        </c:ser>
        <c:ser>
          <c:idx val="1"/>
          <c:order val="1"/>
          <c:tx>
            <c:strRef>
              <c:f>Sheet1!$I$3</c:f>
              <c:strCache>
                <c:ptCount val="1"/>
                <c:pt idx="0">
                  <c:v>Extension gap (kg/ha)</c:v>
                </c:pt>
              </c:strCache>
            </c:strRef>
          </c:tx>
          <c:spPr>
            <a:solidFill>
              <a:srgbClr val="FF0000"/>
            </a:solid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Sheet1!$G$4:$G$7</c:f>
              <c:strCache>
                <c:ptCount val="4"/>
                <c:pt idx="0">
                  <c:v>2022-23</c:v>
                </c:pt>
                <c:pt idx="1">
                  <c:v>2023-24</c:v>
                </c:pt>
                <c:pt idx="2">
                  <c:v>2024-25</c:v>
                </c:pt>
                <c:pt idx="3">
                  <c:v>Pooled</c:v>
                </c:pt>
              </c:strCache>
            </c:strRef>
          </c:cat>
          <c:val>
            <c:numRef>
              <c:f>Sheet1!$I$4:$I$7</c:f>
              <c:numCache>
                <c:formatCode>General</c:formatCode>
                <c:ptCount val="4"/>
                <c:pt idx="0">
                  <c:v>327</c:v>
                </c:pt>
                <c:pt idx="1">
                  <c:v>753</c:v>
                </c:pt>
                <c:pt idx="2">
                  <c:v>477</c:v>
                </c:pt>
                <c:pt idx="3">
                  <c:v>519</c:v>
                </c:pt>
              </c:numCache>
            </c:numRef>
          </c:val>
        </c:ser>
        <c:ser>
          <c:idx val="2"/>
          <c:order val="2"/>
          <c:tx>
            <c:strRef>
              <c:f>Sheet1!$J$3</c:f>
              <c:strCache>
                <c:ptCount val="1"/>
                <c:pt idx="0">
                  <c:v>Technology index (%)</c:v>
                </c:pt>
              </c:strCache>
            </c:strRef>
          </c:tx>
          <c:spPr>
            <a:solidFill>
              <a:srgbClr val="0070C0"/>
            </a:solid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Sheet1!$G$4:$G$7</c:f>
              <c:strCache>
                <c:ptCount val="4"/>
                <c:pt idx="0">
                  <c:v>2022-23</c:v>
                </c:pt>
                <c:pt idx="1">
                  <c:v>2023-24</c:v>
                </c:pt>
                <c:pt idx="2">
                  <c:v>2024-25</c:v>
                </c:pt>
                <c:pt idx="3">
                  <c:v>Pooled</c:v>
                </c:pt>
              </c:strCache>
            </c:strRef>
          </c:cat>
          <c:val>
            <c:numRef>
              <c:f>Sheet1!$J$4:$J$7</c:f>
              <c:numCache>
                <c:formatCode>General</c:formatCode>
                <c:ptCount val="4"/>
                <c:pt idx="0">
                  <c:v>16.32</c:v>
                </c:pt>
                <c:pt idx="1">
                  <c:v>19.84</c:v>
                </c:pt>
                <c:pt idx="2">
                  <c:v>30.52</c:v>
                </c:pt>
                <c:pt idx="3">
                  <c:v>22.22</c:v>
                </c:pt>
              </c:numCache>
            </c:numRef>
          </c:val>
        </c:ser>
        <c:dLbls>
          <c:dLblPos val="outEnd"/>
          <c:showLegendKey val="0"/>
          <c:showVal val="1"/>
          <c:showCatName val="0"/>
          <c:showSerName val="0"/>
          <c:showPercent val="0"/>
          <c:showBubbleSize val="0"/>
        </c:dLbls>
        <c:gapWidth val="160"/>
        <c:overlap val="-90"/>
        <c:axId val="271544648"/>
        <c:axId val="271545040"/>
      </c:barChart>
      <c:catAx>
        <c:axId val="271544648"/>
        <c:scaling>
          <c:orientation val="minMax"/>
        </c:scaling>
        <c:delete val="0"/>
        <c:axPos val="b"/>
        <c:numFmt formatCode="General" sourceLinked="1"/>
        <c:majorTickMark val="none"/>
        <c:minorTickMark val="none"/>
        <c:tickLblPos val="nextTo"/>
        <c:spPr>
          <a:noFill/>
          <a:ln>
            <a:solidFill>
              <a:schemeClr val="accent2"/>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545040"/>
        <c:crosses val="autoZero"/>
        <c:auto val="1"/>
        <c:lblAlgn val="ctr"/>
        <c:lblOffset val="100"/>
        <c:noMultiLvlLbl val="0"/>
      </c:catAx>
      <c:valAx>
        <c:axId val="271545040"/>
        <c:scaling>
          <c:orientation val="minMax"/>
        </c:scaling>
        <c:delete val="0"/>
        <c:axPos val="l"/>
        <c:numFmt formatCode="General" sourceLinked="1"/>
        <c:majorTickMark val="none"/>
        <c:minorTickMark val="none"/>
        <c:tickLblPos val="nextTo"/>
        <c:spPr>
          <a:noFill/>
          <a:ln>
            <a:solidFill>
              <a:schemeClr val="accent2"/>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1544648"/>
        <c:crosses val="autoZero"/>
        <c:crossBetween val="between"/>
      </c:valAx>
      <c:spPr>
        <a:solidFill>
          <a:schemeClr val="accent6">
            <a:lumMod val="20000"/>
            <a:lumOff val="80000"/>
          </a:schemeClr>
        </a:solidFill>
        <a:ln>
          <a:noFill/>
        </a:ln>
        <a:effectLst/>
      </c:spPr>
    </c:plotArea>
    <c:legend>
      <c:legendPos val="t"/>
      <c:overlay val="0"/>
      <c:spPr>
        <a:noFill/>
        <a:ln w="19050">
          <a:solidFill>
            <a:srgbClr val="7030A0"/>
          </a:solid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C7CC-E2B7-4A82-850B-FF6B0381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10</Pages>
  <Words>2914</Words>
  <Characters>16610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DAMU NLR</cp:lastModifiedBy>
  <cp:revision>114</cp:revision>
  <dcterms:created xsi:type="dcterms:W3CDTF">2025-05-23T10:59:00Z</dcterms:created>
  <dcterms:modified xsi:type="dcterms:W3CDTF">2025-08-11T06:54:00Z</dcterms:modified>
</cp:coreProperties>
</file>