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08" w:rsidRPr="00B46893" w:rsidRDefault="00893A8F" w:rsidP="00536808">
      <w:pPr>
        <w:spacing w:line="360" w:lineRule="auto"/>
        <w:jc w:val="center"/>
        <w:rPr>
          <w:rFonts w:ascii="Times New Roman" w:hAnsi="Times New Roman" w:cs="Times New Roman"/>
          <w:i/>
          <w:sz w:val="24"/>
          <w:szCs w:val="24"/>
          <w:lang w:val="en-US"/>
        </w:rPr>
      </w:pPr>
      <w:r w:rsidRPr="00B46893">
        <w:rPr>
          <w:rFonts w:ascii="Times New Roman" w:hAnsi="Times New Roman" w:cs="Times New Roman"/>
          <w:b/>
          <w:sz w:val="28"/>
          <w:szCs w:val="28"/>
        </w:rPr>
        <w:t xml:space="preserve">Constraints Perceived And Suggestions Offered By The Bloom Taxonomy </w:t>
      </w:r>
      <w:r w:rsidR="00536808" w:rsidRPr="00B46893">
        <w:rPr>
          <w:rFonts w:ascii="Times New Roman" w:hAnsi="Times New Roman" w:cs="Times New Roman"/>
          <w:i/>
          <w:sz w:val="24"/>
          <w:szCs w:val="24"/>
          <w:lang w:val="en-US"/>
        </w:rPr>
        <w:t>Mr.M.Manikan</w:t>
      </w:r>
      <w:r w:rsidR="00536808">
        <w:rPr>
          <w:rFonts w:ascii="Times New Roman" w:hAnsi="Times New Roman" w:cs="Times New Roman"/>
          <w:i/>
          <w:sz w:val="24"/>
          <w:szCs w:val="24"/>
          <w:lang w:val="en-US"/>
        </w:rPr>
        <w:t>dan</w:t>
      </w:r>
      <w:r w:rsidR="00536808">
        <w:rPr>
          <w:rFonts w:ascii="Times New Roman" w:hAnsi="Times New Roman" w:cs="Times New Roman"/>
          <w:i/>
          <w:sz w:val="32"/>
          <w:szCs w:val="24"/>
          <w:vertAlign w:val="superscript"/>
          <w:lang w:val="en-US"/>
        </w:rPr>
        <w:t>*1</w:t>
      </w:r>
      <w:r w:rsidR="00536808">
        <w:rPr>
          <w:rFonts w:ascii="Times New Roman" w:hAnsi="Times New Roman" w:cs="Times New Roman"/>
          <w:i/>
          <w:sz w:val="24"/>
          <w:szCs w:val="24"/>
          <w:lang w:val="en-US"/>
        </w:rPr>
        <w:t>.,Dr.T.Ram Sundar</w:t>
      </w:r>
      <w:r w:rsidR="00536808">
        <w:rPr>
          <w:rFonts w:ascii="Times New Roman" w:hAnsi="Times New Roman" w:cs="Times New Roman"/>
          <w:i/>
          <w:sz w:val="24"/>
          <w:szCs w:val="24"/>
          <w:vertAlign w:val="superscript"/>
          <w:lang w:val="en-US"/>
        </w:rPr>
        <w:t>*2</w:t>
      </w:r>
      <w:r w:rsidR="00536808">
        <w:rPr>
          <w:rFonts w:ascii="Times New Roman" w:hAnsi="Times New Roman" w:cs="Times New Roman"/>
          <w:i/>
          <w:sz w:val="24"/>
          <w:szCs w:val="24"/>
          <w:lang w:val="en-US"/>
        </w:rPr>
        <w:t>.,Dr.M.Vaidh</w:t>
      </w:r>
      <w:r w:rsidR="00536808" w:rsidRPr="00B46893">
        <w:rPr>
          <w:rFonts w:ascii="Times New Roman" w:hAnsi="Times New Roman" w:cs="Times New Roman"/>
          <w:i/>
          <w:sz w:val="24"/>
          <w:szCs w:val="24"/>
          <w:lang w:val="en-US"/>
        </w:rPr>
        <w:t>eki</w:t>
      </w:r>
      <w:r w:rsidR="00536808">
        <w:rPr>
          <w:rFonts w:ascii="Times New Roman" w:hAnsi="Times New Roman" w:cs="Times New Roman"/>
          <w:i/>
          <w:sz w:val="24"/>
          <w:szCs w:val="24"/>
          <w:vertAlign w:val="superscript"/>
          <w:lang w:val="en-US"/>
        </w:rPr>
        <w:t>*3</w:t>
      </w:r>
      <w:r w:rsidR="00536808" w:rsidRPr="00B46893">
        <w:rPr>
          <w:rFonts w:ascii="Times New Roman" w:hAnsi="Times New Roman" w:cs="Times New Roman"/>
          <w:i/>
          <w:sz w:val="24"/>
          <w:szCs w:val="24"/>
          <w:lang w:val="en-US"/>
        </w:rPr>
        <w:t>.</w:t>
      </w:r>
    </w:p>
    <w:p w:rsidR="00536808" w:rsidRPr="00B46893" w:rsidRDefault="00536808" w:rsidP="00293FB0">
      <w:pPr>
        <w:tabs>
          <w:tab w:val="left" w:pos="567"/>
        </w:tabs>
        <w:spacing w:line="360" w:lineRule="auto"/>
        <w:ind w:hanging="142"/>
        <w:jc w:val="center"/>
        <w:rPr>
          <w:rFonts w:ascii="Times New Roman" w:hAnsi="Times New Roman" w:cs="Times New Roman"/>
          <w:i/>
          <w:sz w:val="24"/>
          <w:szCs w:val="24"/>
          <w:lang w:val="en-US"/>
        </w:rPr>
      </w:pPr>
      <w:r w:rsidRPr="00B46893">
        <w:rPr>
          <w:rFonts w:ascii="Times New Roman" w:hAnsi="Times New Roman" w:cs="Times New Roman"/>
          <w:i/>
          <w:sz w:val="24"/>
          <w:szCs w:val="24"/>
          <w:lang w:val="en-US"/>
        </w:rPr>
        <w:t>(Pg Scholor</w:t>
      </w:r>
      <w:r>
        <w:rPr>
          <w:rFonts w:ascii="Times New Roman" w:hAnsi="Times New Roman" w:cs="Times New Roman"/>
          <w:i/>
          <w:sz w:val="24"/>
          <w:szCs w:val="24"/>
          <w:vertAlign w:val="superscript"/>
          <w:lang w:val="en-US"/>
        </w:rPr>
        <w:t>*1</w:t>
      </w:r>
      <w:r w:rsidRPr="00B46893">
        <w:rPr>
          <w:rFonts w:ascii="Times New Roman" w:hAnsi="Times New Roman" w:cs="Times New Roman"/>
          <w:i/>
          <w:sz w:val="24"/>
          <w:szCs w:val="24"/>
          <w:lang w:val="en-US"/>
        </w:rPr>
        <w:t>).,(Asst.Prof.Agricultural Extension Education</w:t>
      </w:r>
      <w:r>
        <w:rPr>
          <w:rFonts w:ascii="Times New Roman" w:hAnsi="Times New Roman" w:cs="Times New Roman"/>
          <w:i/>
          <w:sz w:val="24"/>
          <w:szCs w:val="24"/>
          <w:lang w:val="en-US"/>
        </w:rPr>
        <w:t>*</w:t>
      </w:r>
      <w:r>
        <w:rPr>
          <w:rFonts w:ascii="Times New Roman" w:hAnsi="Times New Roman" w:cs="Times New Roman"/>
          <w:i/>
          <w:sz w:val="24"/>
          <w:szCs w:val="24"/>
          <w:vertAlign w:val="superscript"/>
          <w:lang w:val="en-US"/>
        </w:rPr>
        <w:t>2</w:t>
      </w:r>
      <w:r w:rsidRPr="00B46893">
        <w:rPr>
          <w:rFonts w:ascii="Times New Roman" w:hAnsi="Times New Roman" w:cs="Times New Roman"/>
          <w:i/>
          <w:sz w:val="24"/>
          <w:szCs w:val="24"/>
          <w:lang w:val="en-US"/>
        </w:rPr>
        <w:t>).,( Asst.Prof.</w:t>
      </w:r>
      <w:r w:rsidRPr="00B46893">
        <w:rPr>
          <w:rFonts w:ascii="Times New Roman" w:eastAsia="Times New Roman" w:hAnsi="Times New Roman" w:cs="Times New Roman"/>
          <w:b/>
          <w:bCs/>
          <w:i/>
          <w:iCs/>
          <w:caps/>
          <w:color w:val="311E04"/>
          <w:sz w:val="36"/>
          <w:szCs w:val="36"/>
          <w:lang w:eastAsia="en-IN"/>
        </w:rPr>
        <w:t xml:space="preserve"> </w:t>
      </w:r>
      <w:r w:rsidRPr="00B46893">
        <w:rPr>
          <w:rFonts w:ascii="Times New Roman" w:hAnsi="Times New Roman" w:cs="Times New Roman"/>
          <w:bCs/>
          <w:i/>
          <w:sz w:val="24"/>
          <w:szCs w:val="24"/>
        </w:rPr>
        <w:t>Agricultural</w:t>
      </w:r>
      <w:r w:rsidR="00293FB0">
        <w:rPr>
          <w:rFonts w:ascii="Times New Roman" w:hAnsi="Times New Roman" w:cs="Times New Roman"/>
          <w:bCs/>
          <w:i/>
          <w:sz w:val="24"/>
          <w:szCs w:val="24"/>
        </w:rPr>
        <w:t xml:space="preserve"> </w:t>
      </w:r>
      <w:r w:rsidRPr="00B46893">
        <w:rPr>
          <w:rFonts w:ascii="Times New Roman" w:hAnsi="Times New Roman" w:cs="Times New Roman"/>
          <w:bCs/>
          <w:i/>
          <w:sz w:val="24"/>
          <w:szCs w:val="24"/>
        </w:rPr>
        <w:t>Statistics</w:t>
      </w:r>
      <w:r>
        <w:rPr>
          <w:rFonts w:ascii="Times New Roman" w:hAnsi="Times New Roman" w:cs="Times New Roman"/>
          <w:bCs/>
          <w:i/>
          <w:sz w:val="24"/>
          <w:szCs w:val="24"/>
          <w:vertAlign w:val="superscript"/>
        </w:rPr>
        <w:t>*3</w:t>
      </w:r>
      <w:r w:rsidRPr="00B46893">
        <w:rPr>
          <w:rFonts w:ascii="Times New Roman" w:hAnsi="Times New Roman" w:cs="Times New Roman"/>
          <w:i/>
          <w:sz w:val="24"/>
          <w:szCs w:val="24"/>
          <w:lang w:val="en-US"/>
        </w:rPr>
        <w:t>)</w:t>
      </w:r>
    </w:p>
    <w:p w:rsidR="00536808" w:rsidRPr="00B46893" w:rsidRDefault="00536808" w:rsidP="00536808">
      <w:pPr>
        <w:spacing w:line="360" w:lineRule="auto"/>
        <w:jc w:val="center"/>
        <w:rPr>
          <w:rFonts w:ascii="Times New Roman" w:hAnsi="Times New Roman" w:cs="Times New Roman"/>
          <w:b/>
          <w:bCs/>
          <w:sz w:val="24"/>
          <w:szCs w:val="24"/>
        </w:rPr>
      </w:pPr>
      <w:r w:rsidRPr="00B46893">
        <w:rPr>
          <w:rFonts w:ascii="Times New Roman" w:hAnsi="Times New Roman" w:cs="Times New Roman"/>
          <w:i/>
          <w:sz w:val="24"/>
          <w:szCs w:val="24"/>
          <w:lang w:val="en-US"/>
        </w:rPr>
        <w:t xml:space="preserve">Department of Agricultural Extension Education, Department of </w:t>
      </w:r>
      <w:r w:rsidRPr="00B46893">
        <w:rPr>
          <w:rFonts w:ascii="Times New Roman" w:hAnsi="Times New Roman" w:cs="Times New Roman"/>
          <w:bCs/>
          <w:i/>
          <w:sz w:val="24"/>
          <w:szCs w:val="24"/>
        </w:rPr>
        <w:t>Agricultural Statistics</w:t>
      </w:r>
      <w:r w:rsidRPr="00B46893">
        <w:rPr>
          <w:rFonts w:ascii="Times New Roman" w:hAnsi="Times New Roman" w:cs="Times New Roman"/>
          <w:b/>
          <w:bCs/>
          <w:sz w:val="24"/>
          <w:szCs w:val="24"/>
        </w:rPr>
        <w:t>.</w:t>
      </w:r>
    </w:p>
    <w:p w:rsidR="00536808" w:rsidRPr="00B46893" w:rsidRDefault="00536808" w:rsidP="00536808">
      <w:pPr>
        <w:spacing w:line="360" w:lineRule="auto"/>
        <w:jc w:val="center"/>
        <w:rPr>
          <w:rFonts w:ascii="Times New Roman" w:hAnsi="Times New Roman" w:cs="Times New Roman"/>
          <w:i/>
          <w:sz w:val="24"/>
          <w:szCs w:val="24"/>
          <w:lang w:val="en-US"/>
        </w:rPr>
      </w:pPr>
      <w:r w:rsidRPr="00B46893">
        <w:rPr>
          <w:rFonts w:ascii="Times New Roman" w:hAnsi="Times New Roman" w:cs="Times New Roman"/>
          <w:i/>
          <w:sz w:val="24"/>
          <w:szCs w:val="24"/>
          <w:lang w:val="en-US"/>
        </w:rPr>
        <w:t>Institute of Agriculture Research &amp;Technology,</w:t>
      </w:r>
      <w:r>
        <w:rPr>
          <w:rFonts w:ascii="Times New Roman" w:hAnsi="Times New Roman" w:cs="Times New Roman"/>
          <w:i/>
          <w:sz w:val="24"/>
          <w:szCs w:val="24"/>
          <w:lang w:val="en-US"/>
        </w:rPr>
        <w:t>Nmv University,</w:t>
      </w:r>
    </w:p>
    <w:p w:rsidR="00536808" w:rsidRPr="00B46893" w:rsidRDefault="00536808" w:rsidP="00536808">
      <w:pPr>
        <w:spacing w:line="360" w:lineRule="auto"/>
        <w:jc w:val="center"/>
        <w:rPr>
          <w:rFonts w:ascii="Times New Roman" w:hAnsi="Times New Roman" w:cs="Times New Roman"/>
          <w:i/>
          <w:sz w:val="24"/>
          <w:szCs w:val="24"/>
          <w:lang w:val="en-US"/>
        </w:rPr>
      </w:pPr>
      <w:r w:rsidRPr="00B46893">
        <w:rPr>
          <w:rFonts w:ascii="Times New Roman" w:hAnsi="Times New Roman" w:cs="Times New Roman"/>
          <w:i/>
          <w:sz w:val="24"/>
          <w:szCs w:val="24"/>
          <w:lang w:val="en-US"/>
        </w:rPr>
        <w:t>Muthuramalingapuram, Aruppukottai-626105.</w:t>
      </w:r>
    </w:p>
    <w:p w:rsidR="00536808" w:rsidRDefault="00536808" w:rsidP="00536808">
      <w:pPr>
        <w:spacing w:line="360" w:lineRule="auto"/>
        <w:jc w:val="center"/>
        <w:rPr>
          <w:rStyle w:val="Hyperlink"/>
          <w:rFonts w:ascii="Times New Roman" w:hAnsi="Times New Roman" w:cs="Times New Roman"/>
          <w:sz w:val="24"/>
          <w:szCs w:val="24"/>
          <w:lang w:val="en-US"/>
        </w:rPr>
      </w:pPr>
      <w:r w:rsidRPr="00B46893">
        <w:rPr>
          <w:rFonts w:ascii="Times New Roman" w:hAnsi="Times New Roman" w:cs="Times New Roman"/>
          <w:sz w:val="24"/>
          <w:szCs w:val="24"/>
          <w:lang w:val="en-US"/>
        </w:rPr>
        <w:t xml:space="preserve">Email of correspondence: </w:t>
      </w:r>
      <w:hyperlink r:id="rId5" w:history="1">
        <w:r w:rsidRPr="00B46893">
          <w:rPr>
            <w:rStyle w:val="Hyperlink"/>
            <w:rFonts w:ascii="Times New Roman" w:hAnsi="Times New Roman" w:cs="Times New Roman"/>
            <w:sz w:val="24"/>
            <w:szCs w:val="24"/>
            <w:lang w:val="en-US"/>
          </w:rPr>
          <w:t>manikandan.iart@nmv.edu.in</w:t>
        </w:r>
      </w:hyperlink>
    </w:p>
    <w:p w:rsidR="00893A8F" w:rsidRPr="00B46893" w:rsidRDefault="00893A8F" w:rsidP="00536808">
      <w:pPr>
        <w:spacing w:line="360" w:lineRule="auto"/>
        <w:jc w:val="center"/>
        <w:rPr>
          <w:rFonts w:ascii="Times New Roman" w:hAnsi="Times New Roman" w:cs="Times New Roman"/>
          <w:b/>
          <w:sz w:val="28"/>
          <w:szCs w:val="28"/>
        </w:rPr>
      </w:pPr>
      <w:r w:rsidRPr="00B46893">
        <w:rPr>
          <w:rFonts w:ascii="Times New Roman" w:hAnsi="Times New Roman" w:cs="Times New Roman"/>
          <w:b/>
          <w:sz w:val="28"/>
          <w:szCs w:val="28"/>
        </w:rPr>
        <w:t>Abstract:</w:t>
      </w:r>
    </w:p>
    <w:p w:rsidR="00893A8F" w:rsidRPr="007442ED" w:rsidRDefault="00893A8F" w:rsidP="00D273DE">
      <w:pPr>
        <w:spacing w:line="360" w:lineRule="auto"/>
        <w:jc w:val="both"/>
        <w:rPr>
          <w:rFonts w:ascii="Times New Roman" w:hAnsi="Times New Roman" w:cs="Times New Roman"/>
          <w:i/>
          <w:sz w:val="24"/>
          <w:szCs w:val="24"/>
        </w:rPr>
      </w:pPr>
      <w:r w:rsidRPr="007442ED">
        <w:rPr>
          <w:rFonts w:ascii="Times New Roman" w:hAnsi="Times New Roman" w:cs="Times New Roman"/>
          <w:b/>
          <w:i/>
          <w:sz w:val="24"/>
          <w:szCs w:val="24"/>
        </w:rPr>
        <w:t xml:space="preserve">       </w:t>
      </w:r>
      <w:r w:rsidRPr="007442ED">
        <w:rPr>
          <w:rFonts w:ascii="Times New Roman" w:hAnsi="Times New Roman" w:cs="Times New Roman"/>
          <w:i/>
          <w:sz w:val="24"/>
          <w:szCs w:val="24"/>
        </w:rPr>
        <w:t>Bloom's Taxonomy serves as a valuable framework for assessing cognitive learning and skill development among agricultural students. However, students often face constraints in fully engaging with its hierarchical learning process. This study explores the perceived challenges and potential solutions for integrating Bloom's Taxonomy into agricultural education. Key constraints identified include limited practical exposure, inadequate instructional methods, and a lack of critical thinking exercises. Based on these findings, the study suggests curriculum modifications, enhanced experiential learning opportunities, and targeted pedagogical strategies to bridge these gaps. The proposed improvements aim to foster higher-order cognitive skills, ultimately enhancing agricultural education outcomes.</w:t>
      </w:r>
    </w:p>
    <w:p w:rsidR="00893A8F" w:rsidRPr="00B46893" w:rsidRDefault="00893A8F" w:rsidP="00D273DE">
      <w:pPr>
        <w:pStyle w:val="Heading3"/>
        <w:spacing w:line="360" w:lineRule="auto"/>
        <w:jc w:val="both"/>
        <w:rPr>
          <w:rFonts w:ascii="Times New Roman" w:hAnsi="Times New Roman" w:cs="Times New Roman"/>
          <w:color w:val="000000" w:themeColor="text1"/>
        </w:rPr>
      </w:pPr>
      <w:r w:rsidRPr="00B46893">
        <w:rPr>
          <w:rStyle w:val="Strong"/>
          <w:rFonts w:ascii="Times New Roman" w:hAnsi="Times New Roman" w:cs="Times New Roman"/>
          <w:bCs w:val="0"/>
          <w:color w:val="000000" w:themeColor="text1"/>
        </w:rPr>
        <w:t>Keywords:</w:t>
      </w:r>
    </w:p>
    <w:p w:rsidR="00893A8F" w:rsidRPr="00B46893" w:rsidRDefault="00893A8F" w:rsidP="00D273DE">
      <w:pPr>
        <w:pStyle w:val="NormalWeb"/>
        <w:spacing w:line="360" w:lineRule="auto"/>
        <w:jc w:val="both"/>
      </w:pPr>
      <w:r w:rsidRPr="00B46893">
        <w:t>Bloom’s Taxonomy, Agricultural Education, Cognitive Development, Experiential Learning, Higher-Order Thinking, Pedagogical Strategies, Curriculum Enhancement.</w:t>
      </w:r>
    </w:p>
    <w:p w:rsidR="00893A8F" w:rsidRPr="00B46893" w:rsidRDefault="00893A8F" w:rsidP="00D273DE">
      <w:pPr>
        <w:pStyle w:val="NormalWeb"/>
        <w:spacing w:line="360" w:lineRule="auto"/>
        <w:jc w:val="both"/>
        <w:rPr>
          <w:b/>
        </w:rPr>
      </w:pPr>
      <w:r w:rsidRPr="00B46893">
        <w:rPr>
          <w:b/>
        </w:rPr>
        <w:t>Introduction:</w:t>
      </w:r>
    </w:p>
    <w:p w:rsidR="0089792F" w:rsidRPr="00B46893" w:rsidRDefault="00893A8F" w:rsidP="00D273DE">
      <w:pPr>
        <w:pStyle w:val="NormalWeb"/>
        <w:spacing w:line="360" w:lineRule="auto"/>
        <w:jc w:val="both"/>
      </w:pPr>
      <w:r w:rsidRPr="00B46893">
        <w:t>Agricultural education plays a crucial role in preparing students for the challenges of modern farming, agribusiness, and sustainable agricultural practices. However, the effectiveness of agricultural education depends largely on the instructional strategies used to develop students' cognitive skills. Bloom’s Taxonomy, a widely accepted educational framework, categorizes learning into six hierarchical levels—Remembering, Understanding, Applying, Analyzing, Evaluating, and Creating. This taxonomy serves as a guide for structuring curricula, designing assessments, and promoting higher-order thinking skills essential for problem-solving and decision-making in agriculture.</w:t>
      </w:r>
      <w:r w:rsidR="00717FA5">
        <w:t>(</w:t>
      </w:r>
      <w:r w:rsidR="00717FA5" w:rsidRPr="00717FA5">
        <w:t xml:space="preserve"> </w:t>
      </w:r>
      <w:r w:rsidR="00717FA5">
        <w:t>Smith, J. (2023))</w:t>
      </w:r>
    </w:p>
    <w:p w:rsidR="00893A8F" w:rsidRPr="00B46893" w:rsidRDefault="00893A8F" w:rsidP="00D273DE">
      <w:pPr>
        <w:pStyle w:val="NormalWeb"/>
        <w:spacing w:line="360" w:lineRule="auto"/>
        <w:jc w:val="both"/>
      </w:pPr>
      <w:r w:rsidRPr="00B46893">
        <w:lastRenderedPageBreak/>
        <w:t>Despite its significance, the effective implementation of Bloom’s Taxonomy in agricultural education is often hindered by various constraints. Students frequently encounter difficulties in progressing beyond basic knowledge retention to advanced cognitive skills such as critical analysis and innovation. Factors such as traditional lecture-based teaching methods, a lack of practical exposure, and limited use of problem-solving activities contribute to these challenges. Furthermore, the gap between theoretical learning and real-world agricultural applications further complicates students’ ability to engage with higher-order thinking skills.</w:t>
      </w:r>
    </w:p>
    <w:p w:rsidR="00893A8F" w:rsidRPr="00B46893" w:rsidRDefault="00893A8F" w:rsidP="00D273DE">
      <w:pPr>
        <w:pStyle w:val="NormalWeb"/>
        <w:spacing w:line="360" w:lineRule="auto"/>
        <w:jc w:val="both"/>
      </w:pPr>
      <w:r w:rsidRPr="00B46893">
        <w:t>Recognizing these limitations, this study aims to explore the constraints perceived by agricultural students in applying Bloom’s Taxonomy and to propose solutions that can enhance their learning experience. By identifying these challenges and offering targeted pedagogical improvements, the study seeks to bridge the gap between theoretical knowledge and practical application, ultimately contributing to the advancement of agricultural education with following objectives</w:t>
      </w:r>
      <w:r w:rsidR="0089792F" w:rsidRPr="00B46893">
        <w:t>.</w:t>
      </w:r>
      <w:r w:rsidR="00717FA5">
        <w:t>(</w:t>
      </w:r>
      <w:r w:rsidR="00717FA5" w:rsidRPr="00717FA5">
        <w:t xml:space="preserve"> </w:t>
      </w:r>
      <w:r w:rsidR="00717FA5">
        <w:t>Smith, J. (2023))</w:t>
      </w:r>
    </w:p>
    <w:p w:rsidR="0089792F" w:rsidRPr="00B46893" w:rsidRDefault="0089792F" w:rsidP="00D273DE">
      <w:pPr>
        <w:pStyle w:val="NormalWeb"/>
        <w:spacing w:line="360" w:lineRule="auto"/>
        <w:jc w:val="both"/>
        <w:rPr>
          <w:b/>
        </w:rPr>
      </w:pPr>
      <w:r w:rsidRPr="00B46893">
        <w:rPr>
          <w:b/>
        </w:rPr>
        <w:t>Objective</w:t>
      </w:r>
    </w:p>
    <w:p w:rsidR="0089792F" w:rsidRPr="00B46893" w:rsidRDefault="0089792F" w:rsidP="00D273DE">
      <w:pPr>
        <w:spacing w:line="360" w:lineRule="auto"/>
        <w:jc w:val="both"/>
        <w:rPr>
          <w:rFonts w:ascii="Times New Roman" w:hAnsi="Times New Roman" w:cs="Times New Roman"/>
          <w:sz w:val="24"/>
          <w:szCs w:val="24"/>
        </w:rPr>
      </w:pPr>
      <w:r w:rsidRPr="00B46893">
        <w:rPr>
          <w:rFonts w:ascii="Times New Roman" w:hAnsi="Times New Roman" w:cs="Times New Roman"/>
          <w:sz w:val="24"/>
          <w:szCs w:val="24"/>
        </w:rPr>
        <w:t xml:space="preserve"> 1. To determine the Constraints Perceived And Suggestions Offered By The Bloom Taxonomy Amoung Agricultural Students.</w:t>
      </w:r>
    </w:p>
    <w:p w:rsidR="0089792F" w:rsidRPr="00B46893" w:rsidRDefault="0089792F" w:rsidP="00D273DE">
      <w:pPr>
        <w:spacing w:line="360" w:lineRule="auto"/>
        <w:jc w:val="both"/>
        <w:rPr>
          <w:rFonts w:ascii="Times New Roman" w:hAnsi="Times New Roman" w:cs="Times New Roman"/>
          <w:b/>
          <w:sz w:val="24"/>
          <w:szCs w:val="24"/>
        </w:rPr>
      </w:pPr>
      <w:r w:rsidRPr="00B46893">
        <w:rPr>
          <w:rFonts w:ascii="Times New Roman" w:hAnsi="Times New Roman" w:cs="Times New Roman"/>
          <w:b/>
          <w:sz w:val="24"/>
          <w:szCs w:val="24"/>
        </w:rPr>
        <w:t>Materials and methods:</w:t>
      </w:r>
    </w:p>
    <w:p w:rsidR="0089792F" w:rsidRPr="00B46893" w:rsidRDefault="0089792F" w:rsidP="00D273DE">
      <w:pPr>
        <w:pStyle w:val="NormalWeb"/>
        <w:spacing w:line="360" w:lineRule="auto"/>
        <w:jc w:val="both"/>
      </w:pPr>
      <w:r w:rsidRPr="00B46893">
        <w:t xml:space="preserve">The present study was conducted during the academic years 2024–25 at the Institute of Agriculture Research &amp; Technology. The study focused on understanding the constraints perceived by agricultural students in applying Bloom’s Taxonomy and identifying possible solutions to enhance its implementation in agricultural education.A total of </w:t>
      </w:r>
      <w:r w:rsidRPr="00B46893">
        <w:rPr>
          <w:rStyle w:val="Strong"/>
          <w:rFonts w:eastAsiaTheme="majorEastAsia"/>
        </w:rPr>
        <w:t>62 agricultural students</w:t>
      </w:r>
      <w:r w:rsidRPr="00B46893">
        <w:t xml:space="preserve"> were selected as respondents through a </w:t>
      </w:r>
      <w:r w:rsidRPr="00B46893">
        <w:rPr>
          <w:rStyle w:val="Strong"/>
          <w:rFonts w:eastAsiaTheme="majorEastAsia"/>
        </w:rPr>
        <w:t>random sampling method</w:t>
      </w:r>
      <w:r w:rsidRPr="00B46893">
        <w:t xml:space="preserve">. The sample comprised undergraduate students from different academic levels to ensure diverse perspectives. Data were collected using a </w:t>
      </w:r>
      <w:r w:rsidRPr="00B46893">
        <w:rPr>
          <w:rStyle w:val="Strong"/>
          <w:rFonts w:eastAsiaTheme="majorEastAsia"/>
        </w:rPr>
        <w:t>pre-interview method</w:t>
      </w:r>
      <w:r w:rsidRPr="00B46893">
        <w:t xml:space="preserve"> with a </w:t>
      </w:r>
      <w:r w:rsidRPr="00B46893">
        <w:rPr>
          <w:rStyle w:val="Strong"/>
          <w:rFonts w:eastAsiaTheme="majorEastAsia"/>
        </w:rPr>
        <w:t>structured schedule</w:t>
      </w:r>
      <w:r w:rsidRPr="00B46893">
        <w:t xml:space="preserve">, allowing for systematic and comprehensive responses.The study followed an </w:t>
      </w:r>
      <w:r w:rsidRPr="00B46893">
        <w:rPr>
          <w:rStyle w:val="Strong"/>
          <w:rFonts w:eastAsiaTheme="majorEastAsia"/>
        </w:rPr>
        <w:t>ex-post-facto research design</w:t>
      </w:r>
      <w:r w:rsidRPr="00B46893">
        <w:t xml:space="preserve">, as it aimed to assess existing challenges without manipulating variables. Appropriate </w:t>
      </w:r>
      <w:r w:rsidRPr="00B46893">
        <w:rPr>
          <w:rStyle w:val="Strong"/>
          <w:rFonts w:eastAsiaTheme="majorEastAsia"/>
        </w:rPr>
        <w:t>statistical tools</w:t>
      </w:r>
      <w:r w:rsidRPr="00B46893">
        <w:t xml:space="preserve"> were employed for data analysis and interpretation to derive meaningful conclusions regarding students’ experiences and learning constraints.</w:t>
      </w:r>
    </w:p>
    <w:p w:rsidR="0089792F" w:rsidRPr="00B46893" w:rsidRDefault="0089792F" w:rsidP="00D273DE">
      <w:pPr>
        <w:pStyle w:val="NormalWeb"/>
        <w:spacing w:line="360" w:lineRule="auto"/>
        <w:jc w:val="both"/>
        <w:rPr>
          <w:b/>
        </w:rPr>
      </w:pPr>
      <w:r w:rsidRPr="00B46893">
        <w:rPr>
          <w:b/>
        </w:rPr>
        <w:t>Result and Discussion:</w:t>
      </w:r>
    </w:p>
    <w:p w:rsidR="0089792F" w:rsidRPr="00B46893" w:rsidRDefault="0089792F" w:rsidP="00D273DE">
      <w:pPr>
        <w:spacing w:line="360" w:lineRule="auto"/>
        <w:jc w:val="both"/>
        <w:rPr>
          <w:rFonts w:ascii="Times New Roman" w:hAnsi="Times New Roman" w:cs="Times New Roman"/>
          <w:b/>
          <w:sz w:val="24"/>
          <w:szCs w:val="24"/>
        </w:rPr>
      </w:pPr>
      <w:r w:rsidRPr="00B46893">
        <w:rPr>
          <w:rFonts w:ascii="Times New Roman" w:hAnsi="Times New Roman" w:cs="Times New Roman"/>
          <w:b/>
          <w:sz w:val="24"/>
          <w:szCs w:val="24"/>
        </w:rPr>
        <w:t>Constraints faced by the blooms Taxonomy fron students perspectives</w:t>
      </w:r>
    </w:p>
    <w:p w:rsidR="00B46893" w:rsidRPr="00B46893" w:rsidRDefault="00B46893" w:rsidP="00D273DE">
      <w:pPr>
        <w:spacing w:line="360" w:lineRule="auto"/>
        <w:jc w:val="both"/>
        <w:rPr>
          <w:rFonts w:ascii="Times New Roman" w:hAnsi="Times New Roman" w:cs="Times New Roman"/>
          <w:sz w:val="24"/>
          <w:szCs w:val="24"/>
        </w:rPr>
      </w:pPr>
      <w:r w:rsidRPr="00B46893">
        <w:rPr>
          <w:rFonts w:ascii="Times New Roman" w:hAnsi="Times New Roman" w:cs="Times New Roman"/>
          <w:sz w:val="24"/>
          <w:szCs w:val="24"/>
        </w:rPr>
        <w:lastRenderedPageBreak/>
        <w:t>Table 1: Distribution of the respondents according to their constraints regarding the bloom taxonomy from students perspective</w:t>
      </w:r>
    </w:p>
    <w:tbl>
      <w:tblPr>
        <w:tblW w:w="7100" w:type="dxa"/>
        <w:jc w:val="center"/>
        <w:tblLook w:val="04A0" w:firstRow="1" w:lastRow="0" w:firstColumn="1" w:lastColumn="0" w:noHBand="0" w:noVBand="1"/>
      </w:tblPr>
      <w:tblGrid>
        <w:gridCol w:w="986"/>
        <w:gridCol w:w="3967"/>
        <w:gridCol w:w="1161"/>
        <w:gridCol w:w="986"/>
      </w:tblGrid>
      <w:tr w:rsidR="00B46893" w:rsidRPr="00B46893" w:rsidTr="00D273DE">
        <w:trPr>
          <w:trHeight w:val="375"/>
          <w:jc w:val="center"/>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b/>
                <w:bCs/>
                <w:color w:val="000000"/>
                <w:sz w:val="24"/>
                <w:szCs w:val="24"/>
              </w:rPr>
            </w:pPr>
            <w:r w:rsidRPr="00B46893">
              <w:rPr>
                <w:rFonts w:ascii="Times New Roman" w:hAnsi="Times New Roman" w:cs="Times New Roman"/>
                <w:b/>
                <w:bCs/>
                <w:color w:val="000000"/>
                <w:sz w:val="24"/>
                <w:szCs w:val="24"/>
              </w:rPr>
              <w:t>Sl.No.</w:t>
            </w:r>
          </w:p>
        </w:tc>
        <w:tc>
          <w:tcPr>
            <w:tcW w:w="3967" w:type="dxa"/>
            <w:tcBorders>
              <w:top w:val="single" w:sz="4" w:space="0" w:color="auto"/>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b/>
                <w:bCs/>
                <w:color w:val="000000"/>
                <w:sz w:val="24"/>
                <w:szCs w:val="24"/>
              </w:rPr>
            </w:pPr>
            <w:r w:rsidRPr="00B46893">
              <w:rPr>
                <w:rFonts w:ascii="Times New Roman" w:hAnsi="Times New Roman" w:cs="Times New Roman"/>
                <w:b/>
                <w:bCs/>
                <w:color w:val="000000"/>
                <w:sz w:val="24"/>
                <w:szCs w:val="24"/>
              </w:rPr>
              <w:t>Constaints</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b/>
                <w:bCs/>
                <w:color w:val="000000"/>
                <w:sz w:val="24"/>
                <w:szCs w:val="24"/>
              </w:rPr>
            </w:pPr>
            <w:r w:rsidRPr="00B46893">
              <w:rPr>
                <w:rFonts w:ascii="Times New Roman" w:hAnsi="Times New Roman" w:cs="Times New Roman"/>
                <w:b/>
                <w:bCs/>
                <w:color w:val="000000"/>
                <w:sz w:val="24"/>
                <w:szCs w:val="24"/>
              </w:rPr>
              <w:t>Per</w:t>
            </w:r>
            <w:r w:rsidR="007442ED">
              <w:rPr>
                <w:rFonts w:ascii="Times New Roman" w:hAnsi="Times New Roman" w:cs="Times New Roman"/>
                <w:b/>
                <w:bCs/>
                <w:color w:val="000000"/>
                <w:sz w:val="24"/>
                <w:szCs w:val="24"/>
              </w:rPr>
              <w:t xml:space="preserve"> </w:t>
            </w:r>
            <w:r w:rsidRPr="00B46893">
              <w:rPr>
                <w:rFonts w:ascii="Times New Roman" w:hAnsi="Times New Roman" w:cs="Times New Roman"/>
                <w:b/>
                <w:bCs/>
                <w:color w:val="000000"/>
                <w:sz w:val="24"/>
                <w:szCs w:val="24"/>
              </w:rPr>
              <w:t>cent</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b/>
                <w:bCs/>
                <w:color w:val="000000"/>
                <w:sz w:val="24"/>
                <w:szCs w:val="24"/>
              </w:rPr>
            </w:pPr>
            <w:r w:rsidRPr="00B46893">
              <w:rPr>
                <w:rFonts w:ascii="Times New Roman" w:hAnsi="Times New Roman" w:cs="Times New Roman"/>
                <w:b/>
                <w:bCs/>
                <w:color w:val="000000"/>
                <w:sz w:val="24"/>
                <w:szCs w:val="24"/>
              </w:rPr>
              <w:t>Rank</w:t>
            </w:r>
          </w:p>
        </w:tc>
      </w:tr>
      <w:tr w:rsidR="00B46893" w:rsidRPr="00B46893" w:rsidTr="00D273DE">
        <w:trPr>
          <w:trHeight w:val="300"/>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1</w:t>
            </w:r>
          </w:p>
        </w:tc>
        <w:tc>
          <w:tcPr>
            <w:tcW w:w="3967"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Enhancing Practical Learning</w:t>
            </w:r>
          </w:p>
        </w:tc>
        <w:tc>
          <w:tcPr>
            <w:tcW w:w="1161"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49.425</w:t>
            </w:r>
          </w:p>
        </w:tc>
        <w:tc>
          <w:tcPr>
            <w:tcW w:w="986"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2</w:t>
            </w:r>
          </w:p>
        </w:tc>
      </w:tr>
      <w:tr w:rsidR="00B46893" w:rsidRPr="00B46893" w:rsidTr="00D273DE">
        <w:trPr>
          <w:trHeight w:val="300"/>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2</w:t>
            </w:r>
          </w:p>
        </w:tc>
        <w:tc>
          <w:tcPr>
            <w:tcW w:w="3967"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Reducing Exam Anxiety</w:t>
            </w:r>
          </w:p>
        </w:tc>
        <w:tc>
          <w:tcPr>
            <w:tcW w:w="1161"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27.025</w:t>
            </w:r>
          </w:p>
        </w:tc>
        <w:tc>
          <w:tcPr>
            <w:tcW w:w="986"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5</w:t>
            </w:r>
          </w:p>
        </w:tc>
      </w:tr>
      <w:tr w:rsidR="00B46893" w:rsidRPr="00B46893" w:rsidTr="00D273DE">
        <w:trPr>
          <w:trHeight w:val="300"/>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3</w:t>
            </w:r>
          </w:p>
        </w:tc>
        <w:tc>
          <w:tcPr>
            <w:tcW w:w="3967"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Improving Practical Relevance</w:t>
            </w:r>
          </w:p>
        </w:tc>
        <w:tc>
          <w:tcPr>
            <w:tcW w:w="1161"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29.08333</w:t>
            </w:r>
          </w:p>
        </w:tc>
        <w:tc>
          <w:tcPr>
            <w:tcW w:w="986"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4</w:t>
            </w:r>
          </w:p>
        </w:tc>
      </w:tr>
      <w:tr w:rsidR="00B46893" w:rsidRPr="00B46893" w:rsidTr="00D273DE">
        <w:trPr>
          <w:trHeight w:val="300"/>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4</w:t>
            </w:r>
          </w:p>
        </w:tc>
        <w:tc>
          <w:tcPr>
            <w:tcW w:w="3967"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Addressing Facility Shortages</w:t>
            </w:r>
          </w:p>
        </w:tc>
        <w:tc>
          <w:tcPr>
            <w:tcW w:w="1161"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53.13333</w:t>
            </w:r>
          </w:p>
        </w:tc>
        <w:tc>
          <w:tcPr>
            <w:tcW w:w="986"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1</w:t>
            </w:r>
          </w:p>
        </w:tc>
      </w:tr>
      <w:tr w:rsidR="00B46893" w:rsidRPr="00B46893" w:rsidTr="00D273DE">
        <w:trPr>
          <w:trHeight w:val="300"/>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5</w:t>
            </w:r>
          </w:p>
        </w:tc>
        <w:tc>
          <w:tcPr>
            <w:tcW w:w="3967"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Providing Accessible Study Materials</w:t>
            </w:r>
          </w:p>
        </w:tc>
        <w:tc>
          <w:tcPr>
            <w:tcW w:w="1161"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38.725</w:t>
            </w:r>
          </w:p>
        </w:tc>
        <w:tc>
          <w:tcPr>
            <w:tcW w:w="986"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7442ED">
            <w:pPr>
              <w:spacing w:line="360" w:lineRule="auto"/>
              <w:jc w:val="center"/>
              <w:rPr>
                <w:rFonts w:ascii="Times New Roman" w:hAnsi="Times New Roman" w:cs="Times New Roman"/>
                <w:color w:val="000000"/>
                <w:sz w:val="24"/>
                <w:szCs w:val="24"/>
              </w:rPr>
            </w:pPr>
            <w:r w:rsidRPr="00B46893">
              <w:rPr>
                <w:rFonts w:ascii="Times New Roman" w:hAnsi="Times New Roman" w:cs="Times New Roman"/>
                <w:color w:val="000000"/>
                <w:sz w:val="24"/>
                <w:szCs w:val="24"/>
              </w:rPr>
              <w:t>3</w:t>
            </w:r>
          </w:p>
        </w:tc>
      </w:tr>
    </w:tbl>
    <w:p w:rsidR="00B46893" w:rsidRPr="00B46893" w:rsidRDefault="00B46893" w:rsidP="00D273DE">
      <w:pPr>
        <w:spacing w:line="360" w:lineRule="auto"/>
        <w:jc w:val="both"/>
        <w:rPr>
          <w:rFonts w:ascii="Times New Roman" w:hAnsi="Times New Roman" w:cs="Times New Roman"/>
          <w:b/>
          <w:sz w:val="24"/>
          <w:szCs w:val="24"/>
        </w:rPr>
      </w:pPr>
    </w:p>
    <w:p w:rsidR="00B46893" w:rsidRPr="00B46893" w:rsidRDefault="00B46893" w:rsidP="00D273DE">
      <w:pPr>
        <w:spacing w:before="100" w:beforeAutospacing="1" w:after="100" w:afterAutospacing="1" w:line="360" w:lineRule="auto"/>
        <w:jc w:val="both"/>
        <w:rPr>
          <w:rFonts w:ascii="Times New Roman" w:eastAsia="Times New Roman" w:hAnsi="Times New Roman" w:cs="Times New Roman"/>
          <w:sz w:val="24"/>
          <w:szCs w:val="24"/>
          <w:lang w:eastAsia="en-IN"/>
        </w:rPr>
      </w:pPr>
      <w:r w:rsidRPr="00B46893">
        <w:rPr>
          <w:rFonts w:ascii="Times New Roman" w:eastAsia="Times New Roman" w:hAnsi="Times New Roman" w:cs="Times New Roman"/>
          <w:sz w:val="24"/>
          <w:szCs w:val="24"/>
          <w:lang w:eastAsia="en-IN"/>
        </w:rPr>
        <w:t xml:space="preserve">The analysis of the constraints perceived by agricultural students in applying Bloom’s Taxonomy reveals key challenges that hinder effective learning. Among these, </w:t>
      </w:r>
      <w:r w:rsidRPr="00B46893">
        <w:rPr>
          <w:rFonts w:ascii="Times New Roman" w:eastAsia="Times New Roman" w:hAnsi="Times New Roman" w:cs="Times New Roman"/>
          <w:b/>
          <w:bCs/>
          <w:sz w:val="24"/>
          <w:szCs w:val="24"/>
          <w:lang w:eastAsia="en-IN"/>
        </w:rPr>
        <w:t>facility shortages</w:t>
      </w:r>
      <w:r w:rsidRPr="00B46893">
        <w:rPr>
          <w:rFonts w:ascii="Times New Roman" w:eastAsia="Times New Roman" w:hAnsi="Times New Roman" w:cs="Times New Roman"/>
          <w:sz w:val="24"/>
          <w:szCs w:val="24"/>
          <w:lang w:eastAsia="en-IN"/>
        </w:rPr>
        <w:t xml:space="preserve"> emerged as the most significant constraint (53.13</w:t>
      </w:r>
      <w:r w:rsidR="007442ED">
        <w:rPr>
          <w:rFonts w:ascii="Times New Roman" w:eastAsia="Times New Roman" w:hAnsi="Times New Roman" w:cs="Times New Roman"/>
          <w:sz w:val="24"/>
          <w:szCs w:val="24"/>
          <w:lang w:eastAsia="en-IN"/>
        </w:rPr>
        <w:t>per cent</w:t>
      </w:r>
      <w:r w:rsidRPr="00B46893">
        <w:rPr>
          <w:rFonts w:ascii="Times New Roman" w:eastAsia="Times New Roman" w:hAnsi="Times New Roman" w:cs="Times New Roman"/>
          <w:sz w:val="24"/>
          <w:szCs w:val="24"/>
          <w:lang w:eastAsia="en-IN"/>
        </w:rPr>
        <w:t xml:space="preserve">), indicating a lack of proper infrastructure, laboratory facilities, and field exposure essential for practical learning. This was followed by the need for </w:t>
      </w:r>
      <w:r w:rsidRPr="00B46893">
        <w:rPr>
          <w:rFonts w:ascii="Times New Roman" w:eastAsia="Times New Roman" w:hAnsi="Times New Roman" w:cs="Times New Roman"/>
          <w:b/>
          <w:bCs/>
          <w:sz w:val="24"/>
          <w:szCs w:val="24"/>
          <w:lang w:eastAsia="en-IN"/>
        </w:rPr>
        <w:t>enhancing practical learning</w:t>
      </w:r>
      <w:r w:rsidRPr="00B46893">
        <w:rPr>
          <w:rFonts w:ascii="Times New Roman" w:eastAsia="Times New Roman" w:hAnsi="Times New Roman" w:cs="Times New Roman"/>
          <w:sz w:val="24"/>
          <w:szCs w:val="24"/>
          <w:lang w:eastAsia="en-IN"/>
        </w:rPr>
        <w:t xml:space="preserve"> (49.43</w:t>
      </w:r>
      <w:r w:rsidR="007442ED">
        <w:rPr>
          <w:rFonts w:ascii="Times New Roman" w:eastAsia="Times New Roman" w:hAnsi="Times New Roman" w:cs="Times New Roman"/>
          <w:sz w:val="24"/>
          <w:szCs w:val="24"/>
          <w:lang w:eastAsia="en-IN"/>
        </w:rPr>
        <w:t>per cent</w:t>
      </w:r>
      <w:r w:rsidRPr="00B46893">
        <w:rPr>
          <w:rFonts w:ascii="Times New Roman" w:eastAsia="Times New Roman" w:hAnsi="Times New Roman" w:cs="Times New Roman"/>
          <w:sz w:val="24"/>
          <w:szCs w:val="24"/>
          <w:lang w:eastAsia="en-IN"/>
        </w:rPr>
        <w:t xml:space="preserve">), suggesting that students struggle to apply theoretical knowledge in real-world agricultural scenarios. Additionally, </w:t>
      </w:r>
      <w:r w:rsidRPr="00B46893">
        <w:rPr>
          <w:rFonts w:ascii="Times New Roman" w:eastAsia="Times New Roman" w:hAnsi="Times New Roman" w:cs="Times New Roman"/>
          <w:b/>
          <w:bCs/>
          <w:sz w:val="24"/>
          <w:szCs w:val="24"/>
          <w:lang w:eastAsia="en-IN"/>
        </w:rPr>
        <w:t>accessibility to study materials</w:t>
      </w:r>
      <w:r w:rsidRPr="00B46893">
        <w:rPr>
          <w:rFonts w:ascii="Times New Roman" w:eastAsia="Times New Roman" w:hAnsi="Times New Roman" w:cs="Times New Roman"/>
          <w:sz w:val="24"/>
          <w:szCs w:val="24"/>
          <w:lang w:eastAsia="en-IN"/>
        </w:rPr>
        <w:t xml:space="preserve"> (38.73</w:t>
      </w:r>
      <w:r w:rsidR="007442ED">
        <w:rPr>
          <w:rFonts w:ascii="Times New Roman" w:eastAsia="Times New Roman" w:hAnsi="Times New Roman" w:cs="Times New Roman"/>
          <w:sz w:val="24"/>
          <w:szCs w:val="24"/>
          <w:lang w:eastAsia="en-IN"/>
        </w:rPr>
        <w:t>per cent</w:t>
      </w:r>
      <w:r w:rsidRPr="00B46893">
        <w:rPr>
          <w:rFonts w:ascii="Times New Roman" w:eastAsia="Times New Roman" w:hAnsi="Times New Roman" w:cs="Times New Roman"/>
          <w:sz w:val="24"/>
          <w:szCs w:val="24"/>
          <w:lang w:eastAsia="en-IN"/>
        </w:rPr>
        <w:t xml:space="preserve">) was highlighted as a concern, emphasizing the necessity of well-structured resources such as digital content, textbooks, and reference materials to support cognitive development. The study also found that </w:t>
      </w:r>
      <w:r w:rsidRPr="00B46893">
        <w:rPr>
          <w:rFonts w:ascii="Times New Roman" w:eastAsia="Times New Roman" w:hAnsi="Times New Roman" w:cs="Times New Roman"/>
          <w:b/>
          <w:bCs/>
          <w:sz w:val="24"/>
          <w:szCs w:val="24"/>
          <w:lang w:eastAsia="en-IN"/>
        </w:rPr>
        <w:t>practical relevance of education</w:t>
      </w:r>
      <w:r w:rsidRPr="00B46893">
        <w:rPr>
          <w:rFonts w:ascii="Times New Roman" w:eastAsia="Times New Roman" w:hAnsi="Times New Roman" w:cs="Times New Roman"/>
          <w:sz w:val="24"/>
          <w:szCs w:val="24"/>
          <w:lang w:eastAsia="en-IN"/>
        </w:rPr>
        <w:t xml:space="preserve"> (29.08</w:t>
      </w:r>
      <w:r w:rsidR="007442ED">
        <w:rPr>
          <w:rFonts w:ascii="Times New Roman" w:eastAsia="Times New Roman" w:hAnsi="Times New Roman" w:cs="Times New Roman"/>
          <w:sz w:val="24"/>
          <w:szCs w:val="24"/>
          <w:lang w:eastAsia="en-IN"/>
        </w:rPr>
        <w:t>per cent</w:t>
      </w:r>
      <w:r w:rsidRPr="00B46893">
        <w:rPr>
          <w:rFonts w:ascii="Times New Roman" w:eastAsia="Times New Roman" w:hAnsi="Times New Roman" w:cs="Times New Roman"/>
          <w:sz w:val="24"/>
          <w:szCs w:val="24"/>
          <w:lang w:eastAsia="en-IN"/>
        </w:rPr>
        <w:t xml:space="preserve">) remains a challenge, as students feel a disconnect between academic content and real-world agricultural applications. Lastly, </w:t>
      </w:r>
      <w:r w:rsidRPr="00B46893">
        <w:rPr>
          <w:rFonts w:ascii="Times New Roman" w:eastAsia="Times New Roman" w:hAnsi="Times New Roman" w:cs="Times New Roman"/>
          <w:b/>
          <w:bCs/>
          <w:sz w:val="24"/>
          <w:szCs w:val="24"/>
          <w:lang w:eastAsia="en-IN"/>
        </w:rPr>
        <w:t>exam anxiety</w:t>
      </w:r>
      <w:r w:rsidRPr="00B46893">
        <w:rPr>
          <w:rFonts w:ascii="Times New Roman" w:eastAsia="Times New Roman" w:hAnsi="Times New Roman" w:cs="Times New Roman"/>
          <w:sz w:val="24"/>
          <w:szCs w:val="24"/>
          <w:lang w:eastAsia="en-IN"/>
        </w:rPr>
        <w:t xml:space="preserve"> (27.03</w:t>
      </w:r>
      <w:r w:rsidR="007442ED">
        <w:rPr>
          <w:rFonts w:ascii="Times New Roman" w:eastAsia="Times New Roman" w:hAnsi="Times New Roman" w:cs="Times New Roman"/>
          <w:sz w:val="24"/>
          <w:szCs w:val="24"/>
          <w:lang w:eastAsia="en-IN"/>
        </w:rPr>
        <w:t>per cent</w:t>
      </w:r>
      <w:r w:rsidRPr="00B46893">
        <w:rPr>
          <w:rFonts w:ascii="Times New Roman" w:eastAsia="Times New Roman" w:hAnsi="Times New Roman" w:cs="Times New Roman"/>
          <w:sz w:val="24"/>
          <w:szCs w:val="24"/>
          <w:lang w:eastAsia="en-IN"/>
        </w:rPr>
        <w:t>) was identified as a constraint, suggesting that assessment methods may contribute to stress and hinder deeper engagement with learning. These findings underscore the importance of improving infrastructure, incorporating experiential learning methods, and ensuring better access to educational resources to enhance agricultural students' cognitive and practical competencies. Addressing these issues will enable a more effective implementation of Bloom’s Taxonomy in agricultural education, fostering critical thinking and problem-solving skills essential for the field.</w:t>
      </w:r>
    </w:p>
    <w:p w:rsidR="00B46893" w:rsidRPr="00B46893" w:rsidRDefault="00B46893" w:rsidP="00D273DE">
      <w:pPr>
        <w:spacing w:line="360" w:lineRule="auto"/>
        <w:jc w:val="both"/>
        <w:rPr>
          <w:rFonts w:ascii="Times New Roman" w:hAnsi="Times New Roman" w:cs="Times New Roman"/>
          <w:b/>
          <w:sz w:val="24"/>
          <w:szCs w:val="24"/>
        </w:rPr>
      </w:pPr>
      <w:r w:rsidRPr="00B46893">
        <w:rPr>
          <w:rFonts w:ascii="Times New Roman" w:hAnsi="Times New Roman" w:cs="Times New Roman"/>
          <w:b/>
          <w:sz w:val="24"/>
          <w:szCs w:val="24"/>
        </w:rPr>
        <w:t>Suggestions faced by the blooms Taxonomy fron students perspectives :</w:t>
      </w:r>
    </w:p>
    <w:p w:rsidR="00B46893" w:rsidRPr="00B46893" w:rsidRDefault="00B46893" w:rsidP="00D273DE">
      <w:pPr>
        <w:spacing w:line="360" w:lineRule="auto"/>
        <w:jc w:val="both"/>
        <w:rPr>
          <w:rFonts w:ascii="Times New Roman" w:hAnsi="Times New Roman" w:cs="Times New Roman"/>
          <w:sz w:val="24"/>
          <w:szCs w:val="24"/>
        </w:rPr>
      </w:pPr>
      <w:r w:rsidRPr="00B46893">
        <w:rPr>
          <w:rFonts w:ascii="Times New Roman" w:hAnsi="Times New Roman" w:cs="Times New Roman"/>
          <w:sz w:val="24"/>
          <w:szCs w:val="24"/>
        </w:rPr>
        <w:t>Table 2: Distribution of the respondents according to their Suggestion regarding the bloom taxonomy from students perspective</w:t>
      </w:r>
    </w:p>
    <w:tbl>
      <w:tblPr>
        <w:tblW w:w="7100" w:type="dxa"/>
        <w:jc w:val="center"/>
        <w:tblLook w:val="04A0" w:firstRow="1" w:lastRow="0" w:firstColumn="1" w:lastColumn="0" w:noHBand="0" w:noVBand="1"/>
      </w:tblPr>
      <w:tblGrid>
        <w:gridCol w:w="986"/>
        <w:gridCol w:w="3967"/>
        <w:gridCol w:w="1161"/>
        <w:gridCol w:w="986"/>
      </w:tblGrid>
      <w:tr w:rsidR="00B46893" w:rsidRPr="00B46893" w:rsidTr="00D273DE">
        <w:trPr>
          <w:trHeight w:val="375"/>
          <w:jc w:val="center"/>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b/>
                <w:bCs/>
                <w:color w:val="000000"/>
                <w:sz w:val="24"/>
                <w:szCs w:val="24"/>
              </w:rPr>
            </w:pPr>
            <w:r w:rsidRPr="00B46893">
              <w:rPr>
                <w:rFonts w:ascii="Times New Roman" w:hAnsi="Times New Roman" w:cs="Times New Roman"/>
                <w:b/>
                <w:bCs/>
                <w:color w:val="000000"/>
                <w:sz w:val="24"/>
                <w:szCs w:val="24"/>
              </w:rPr>
              <w:lastRenderedPageBreak/>
              <w:t>Sl.No.</w:t>
            </w:r>
          </w:p>
        </w:tc>
        <w:tc>
          <w:tcPr>
            <w:tcW w:w="3967" w:type="dxa"/>
            <w:tcBorders>
              <w:top w:val="single" w:sz="4" w:space="0" w:color="auto"/>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b/>
                <w:bCs/>
                <w:color w:val="000000"/>
                <w:sz w:val="24"/>
                <w:szCs w:val="24"/>
              </w:rPr>
            </w:pPr>
            <w:r w:rsidRPr="00B46893">
              <w:rPr>
                <w:rFonts w:ascii="Times New Roman" w:hAnsi="Times New Roman" w:cs="Times New Roman"/>
                <w:b/>
                <w:bCs/>
                <w:color w:val="000000"/>
                <w:sz w:val="24"/>
                <w:szCs w:val="24"/>
              </w:rPr>
              <w:t>Suggestions</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B46893" w:rsidRPr="00B46893" w:rsidRDefault="007442ED" w:rsidP="00D273DE">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Per cent</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b/>
                <w:bCs/>
                <w:color w:val="000000"/>
                <w:sz w:val="24"/>
                <w:szCs w:val="24"/>
              </w:rPr>
            </w:pPr>
            <w:r w:rsidRPr="00B46893">
              <w:rPr>
                <w:rFonts w:ascii="Times New Roman" w:hAnsi="Times New Roman" w:cs="Times New Roman"/>
                <w:b/>
                <w:bCs/>
                <w:color w:val="000000"/>
                <w:sz w:val="24"/>
                <w:szCs w:val="24"/>
              </w:rPr>
              <w:t>Rank</w:t>
            </w:r>
          </w:p>
        </w:tc>
      </w:tr>
      <w:tr w:rsidR="00B46893" w:rsidRPr="00B46893" w:rsidTr="00D273DE">
        <w:trPr>
          <w:trHeight w:val="300"/>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46893" w:rsidRPr="00717FA5" w:rsidRDefault="00B46893" w:rsidP="00717FA5">
            <w:pPr>
              <w:pStyle w:val="ListParagraph"/>
              <w:numPr>
                <w:ilvl w:val="0"/>
                <w:numId w:val="3"/>
              </w:numPr>
              <w:spacing w:line="360" w:lineRule="auto"/>
              <w:jc w:val="both"/>
              <w:rPr>
                <w:rFonts w:ascii="Times New Roman" w:hAnsi="Times New Roman" w:cs="Times New Roman"/>
                <w:color w:val="000000"/>
                <w:sz w:val="24"/>
                <w:szCs w:val="24"/>
              </w:rPr>
            </w:pPr>
          </w:p>
        </w:tc>
        <w:tc>
          <w:tcPr>
            <w:tcW w:w="3967"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Developing Agribusiness Skills</w:t>
            </w:r>
          </w:p>
        </w:tc>
        <w:tc>
          <w:tcPr>
            <w:tcW w:w="1161"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50.675</w:t>
            </w:r>
          </w:p>
        </w:tc>
        <w:tc>
          <w:tcPr>
            <w:tcW w:w="986"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5</w:t>
            </w:r>
          </w:p>
        </w:tc>
      </w:tr>
      <w:tr w:rsidR="00B46893" w:rsidRPr="00B46893" w:rsidTr="00D273DE">
        <w:trPr>
          <w:trHeight w:val="300"/>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46893" w:rsidRPr="00717FA5" w:rsidRDefault="00B46893" w:rsidP="00717FA5">
            <w:pPr>
              <w:pStyle w:val="ListParagraph"/>
              <w:numPr>
                <w:ilvl w:val="0"/>
                <w:numId w:val="3"/>
              </w:numPr>
              <w:spacing w:line="360" w:lineRule="auto"/>
              <w:jc w:val="both"/>
              <w:rPr>
                <w:rFonts w:ascii="Times New Roman" w:hAnsi="Times New Roman" w:cs="Times New Roman"/>
                <w:color w:val="000000"/>
                <w:sz w:val="24"/>
                <w:szCs w:val="24"/>
              </w:rPr>
            </w:pPr>
          </w:p>
        </w:tc>
        <w:tc>
          <w:tcPr>
            <w:tcW w:w="3967"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Encouraging Hard Work And Mastery</w:t>
            </w:r>
          </w:p>
        </w:tc>
        <w:tc>
          <w:tcPr>
            <w:tcW w:w="1161"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69.74167</w:t>
            </w:r>
          </w:p>
        </w:tc>
        <w:tc>
          <w:tcPr>
            <w:tcW w:w="986"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2</w:t>
            </w:r>
          </w:p>
        </w:tc>
      </w:tr>
      <w:tr w:rsidR="00B46893" w:rsidRPr="00B46893" w:rsidTr="00D273DE">
        <w:trPr>
          <w:trHeight w:val="300"/>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46893" w:rsidRPr="00717FA5" w:rsidRDefault="00B46893" w:rsidP="00717FA5">
            <w:pPr>
              <w:pStyle w:val="ListParagraph"/>
              <w:numPr>
                <w:ilvl w:val="0"/>
                <w:numId w:val="3"/>
              </w:numPr>
              <w:spacing w:line="360" w:lineRule="auto"/>
              <w:jc w:val="both"/>
              <w:rPr>
                <w:rFonts w:ascii="Times New Roman" w:hAnsi="Times New Roman" w:cs="Times New Roman"/>
                <w:color w:val="000000"/>
                <w:sz w:val="24"/>
                <w:szCs w:val="24"/>
              </w:rPr>
            </w:pPr>
          </w:p>
        </w:tc>
        <w:tc>
          <w:tcPr>
            <w:tcW w:w="3967"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Enhancing Communication Skills</w:t>
            </w:r>
          </w:p>
        </w:tc>
        <w:tc>
          <w:tcPr>
            <w:tcW w:w="1161"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70.04167</w:t>
            </w:r>
          </w:p>
        </w:tc>
        <w:tc>
          <w:tcPr>
            <w:tcW w:w="986"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1</w:t>
            </w:r>
          </w:p>
        </w:tc>
      </w:tr>
      <w:tr w:rsidR="00B46893" w:rsidRPr="00B46893" w:rsidTr="00D273DE">
        <w:trPr>
          <w:trHeight w:val="300"/>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46893" w:rsidRPr="00717FA5" w:rsidRDefault="00B46893" w:rsidP="00717FA5">
            <w:pPr>
              <w:pStyle w:val="ListParagraph"/>
              <w:numPr>
                <w:ilvl w:val="0"/>
                <w:numId w:val="3"/>
              </w:numPr>
              <w:spacing w:line="360" w:lineRule="auto"/>
              <w:jc w:val="both"/>
              <w:rPr>
                <w:rFonts w:ascii="Times New Roman" w:hAnsi="Times New Roman" w:cs="Times New Roman"/>
                <w:color w:val="000000"/>
                <w:sz w:val="24"/>
                <w:szCs w:val="24"/>
              </w:rPr>
            </w:pPr>
          </w:p>
        </w:tc>
        <w:tc>
          <w:tcPr>
            <w:tcW w:w="3967"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Strengthening Faculty And Lab Facilities</w:t>
            </w:r>
          </w:p>
        </w:tc>
        <w:tc>
          <w:tcPr>
            <w:tcW w:w="1161"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55</w:t>
            </w:r>
            <w:r w:rsidR="00717FA5">
              <w:rPr>
                <w:rFonts w:ascii="Times New Roman" w:hAnsi="Times New Roman" w:cs="Times New Roman"/>
                <w:color w:val="000000"/>
                <w:sz w:val="24"/>
                <w:szCs w:val="24"/>
              </w:rPr>
              <w:t>.00</w:t>
            </w:r>
          </w:p>
        </w:tc>
        <w:tc>
          <w:tcPr>
            <w:tcW w:w="986"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4</w:t>
            </w:r>
          </w:p>
        </w:tc>
      </w:tr>
      <w:tr w:rsidR="00B46893" w:rsidRPr="00B46893" w:rsidTr="00D273DE">
        <w:trPr>
          <w:trHeight w:val="300"/>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46893" w:rsidRPr="00717FA5" w:rsidRDefault="00B46893" w:rsidP="00717FA5">
            <w:pPr>
              <w:pStyle w:val="ListParagraph"/>
              <w:numPr>
                <w:ilvl w:val="0"/>
                <w:numId w:val="3"/>
              </w:numPr>
              <w:spacing w:line="360" w:lineRule="auto"/>
              <w:jc w:val="both"/>
              <w:rPr>
                <w:rFonts w:ascii="Times New Roman" w:hAnsi="Times New Roman" w:cs="Times New Roman"/>
                <w:color w:val="000000"/>
                <w:sz w:val="24"/>
                <w:szCs w:val="24"/>
              </w:rPr>
            </w:pPr>
          </w:p>
        </w:tc>
        <w:tc>
          <w:tcPr>
            <w:tcW w:w="3967"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Ensuring Faculty Availability For All Courses</w:t>
            </w:r>
          </w:p>
        </w:tc>
        <w:tc>
          <w:tcPr>
            <w:tcW w:w="1161"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55.15</w:t>
            </w:r>
          </w:p>
        </w:tc>
        <w:tc>
          <w:tcPr>
            <w:tcW w:w="986" w:type="dxa"/>
            <w:tcBorders>
              <w:top w:val="nil"/>
              <w:left w:val="nil"/>
              <w:bottom w:val="single" w:sz="4" w:space="0" w:color="auto"/>
              <w:right w:val="single" w:sz="4" w:space="0" w:color="auto"/>
            </w:tcBorders>
            <w:shd w:val="clear" w:color="auto" w:fill="auto"/>
            <w:noWrap/>
            <w:vAlign w:val="bottom"/>
            <w:hideMark/>
          </w:tcPr>
          <w:p w:rsidR="00B46893" w:rsidRPr="00B46893" w:rsidRDefault="00B46893" w:rsidP="00D273DE">
            <w:pPr>
              <w:spacing w:line="360" w:lineRule="auto"/>
              <w:jc w:val="both"/>
              <w:rPr>
                <w:rFonts w:ascii="Times New Roman" w:hAnsi="Times New Roman" w:cs="Times New Roman"/>
                <w:color w:val="000000"/>
                <w:sz w:val="24"/>
                <w:szCs w:val="24"/>
              </w:rPr>
            </w:pPr>
            <w:r w:rsidRPr="00B46893">
              <w:rPr>
                <w:rFonts w:ascii="Times New Roman" w:hAnsi="Times New Roman" w:cs="Times New Roman"/>
                <w:color w:val="000000"/>
                <w:sz w:val="24"/>
                <w:szCs w:val="24"/>
              </w:rPr>
              <w:t>3</w:t>
            </w:r>
          </w:p>
        </w:tc>
      </w:tr>
    </w:tbl>
    <w:p w:rsidR="00B46893" w:rsidRPr="00B46893" w:rsidRDefault="00B46893" w:rsidP="00D273DE">
      <w:pPr>
        <w:spacing w:line="360" w:lineRule="auto"/>
        <w:jc w:val="both"/>
        <w:rPr>
          <w:rFonts w:ascii="Times New Roman" w:hAnsi="Times New Roman" w:cs="Times New Roman"/>
          <w:sz w:val="24"/>
          <w:szCs w:val="24"/>
        </w:rPr>
      </w:pPr>
    </w:p>
    <w:p w:rsidR="00B46893" w:rsidRPr="00B46893" w:rsidRDefault="00B46893" w:rsidP="00D273DE">
      <w:pPr>
        <w:pStyle w:val="NormalWeb"/>
        <w:spacing w:line="360" w:lineRule="auto"/>
        <w:jc w:val="both"/>
      </w:pPr>
      <w:r w:rsidRPr="00B46893">
        <w:t xml:space="preserve">The table presents suggestions offered by agricultural students for improving the implementation of Bloom’s Taxonomy in their learning process. The highest-ranked suggestion was </w:t>
      </w:r>
      <w:r w:rsidRPr="00B46893">
        <w:rPr>
          <w:rStyle w:val="Strong"/>
          <w:rFonts w:eastAsiaTheme="majorEastAsia"/>
        </w:rPr>
        <w:t>enhancing communication skills (70.04</w:t>
      </w:r>
      <w:r w:rsidR="007442ED">
        <w:rPr>
          <w:rStyle w:val="Strong"/>
          <w:rFonts w:eastAsiaTheme="majorEastAsia"/>
        </w:rPr>
        <w:t>per cent</w:t>
      </w:r>
      <w:r w:rsidRPr="00B46893">
        <w:rPr>
          <w:rStyle w:val="Strong"/>
          <w:rFonts w:eastAsiaTheme="majorEastAsia"/>
        </w:rPr>
        <w:t>)</w:t>
      </w:r>
      <w:r w:rsidRPr="00B46893">
        <w:t xml:space="preserve">, emphasizing the importance of effective verbal and written communication in agricultural education and professional growth. </w:t>
      </w:r>
      <w:r w:rsidRPr="00B46893">
        <w:rPr>
          <w:rStyle w:val="Strong"/>
          <w:rFonts w:eastAsiaTheme="majorEastAsia"/>
        </w:rPr>
        <w:t>Encouraging hard work and mastery (69.74</w:t>
      </w:r>
      <w:r w:rsidR="007442ED">
        <w:rPr>
          <w:rStyle w:val="Strong"/>
          <w:rFonts w:eastAsiaTheme="majorEastAsia"/>
        </w:rPr>
        <w:t>per cent</w:t>
      </w:r>
      <w:r w:rsidRPr="00B46893">
        <w:rPr>
          <w:rStyle w:val="Strong"/>
          <w:rFonts w:eastAsiaTheme="majorEastAsia"/>
        </w:rPr>
        <w:t>)</w:t>
      </w:r>
      <w:r w:rsidRPr="00B46893">
        <w:t xml:space="preserve"> was the second most important suggestion, highlighting the need for perseverance and deeper understanding of agricultural concepts.</w:t>
      </w:r>
    </w:p>
    <w:p w:rsidR="00B46893" w:rsidRPr="00B46893" w:rsidRDefault="00B46893" w:rsidP="00D273DE">
      <w:pPr>
        <w:pStyle w:val="NormalWeb"/>
        <w:spacing w:line="360" w:lineRule="auto"/>
        <w:jc w:val="both"/>
      </w:pPr>
      <w:r w:rsidRPr="00B46893">
        <w:t xml:space="preserve">Students also stressed the importance of </w:t>
      </w:r>
      <w:r w:rsidRPr="00B46893">
        <w:rPr>
          <w:rStyle w:val="Strong"/>
          <w:rFonts w:eastAsiaTheme="majorEastAsia"/>
        </w:rPr>
        <w:t>faculty availability for all courses (55.15</w:t>
      </w:r>
      <w:r w:rsidR="007442ED">
        <w:rPr>
          <w:rStyle w:val="Strong"/>
          <w:rFonts w:eastAsiaTheme="majorEastAsia"/>
        </w:rPr>
        <w:t>per cent</w:t>
      </w:r>
      <w:r w:rsidRPr="00B46893">
        <w:rPr>
          <w:rStyle w:val="Strong"/>
          <w:rFonts w:eastAsiaTheme="majorEastAsia"/>
        </w:rPr>
        <w:t>)</w:t>
      </w:r>
      <w:r w:rsidRPr="00B46893">
        <w:t xml:space="preserve"> and </w:t>
      </w:r>
      <w:r w:rsidRPr="00B46893">
        <w:rPr>
          <w:rStyle w:val="Strong"/>
          <w:rFonts w:eastAsiaTheme="majorEastAsia"/>
        </w:rPr>
        <w:t>strengthening faculty and lab facilities (55.00</w:t>
      </w:r>
      <w:r w:rsidR="007442ED">
        <w:rPr>
          <w:rStyle w:val="Strong"/>
          <w:rFonts w:eastAsiaTheme="majorEastAsia"/>
        </w:rPr>
        <w:t>per cent</w:t>
      </w:r>
      <w:r w:rsidRPr="00B46893">
        <w:rPr>
          <w:rStyle w:val="Strong"/>
          <w:rFonts w:eastAsiaTheme="majorEastAsia"/>
        </w:rPr>
        <w:t>)</w:t>
      </w:r>
      <w:r w:rsidRPr="00B46893">
        <w:t xml:space="preserve">, indicating the necessity for well-equipped institutions with qualified educators and better practical learning environments. Lastly, </w:t>
      </w:r>
      <w:r w:rsidRPr="00B46893">
        <w:rPr>
          <w:rStyle w:val="Strong"/>
          <w:rFonts w:eastAsiaTheme="majorEastAsia"/>
        </w:rPr>
        <w:t>developing agribusiness skills (50.68</w:t>
      </w:r>
      <w:r w:rsidR="007442ED">
        <w:rPr>
          <w:rStyle w:val="Strong"/>
          <w:rFonts w:eastAsiaTheme="majorEastAsia"/>
        </w:rPr>
        <w:t>per cent</w:t>
      </w:r>
      <w:r w:rsidRPr="00B46893">
        <w:rPr>
          <w:rStyle w:val="Strong"/>
          <w:rFonts w:eastAsiaTheme="majorEastAsia"/>
        </w:rPr>
        <w:t>)</w:t>
      </w:r>
      <w:r w:rsidRPr="00B46893">
        <w:t xml:space="preserve"> was suggested to prepare students for entrepreneurial and business-oriented opportunities in the agricultural sector.</w:t>
      </w:r>
    </w:p>
    <w:p w:rsidR="00B46893" w:rsidRPr="00B46893" w:rsidRDefault="00B46893" w:rsidP="00D273DE">
      <w:pPr>
        <w:spacing w:line="360" w:lineRule="auto"/>
        <w:jc w:val="both"/>
        <w:rPr>
          <w:rFonts w:ascii="Times New Roman" w:hAnsi="Times New Roman" w:cs="Times New Roman"/>
          <w:b/>
          <w:sz w:val="24"/>
          <w:szCs w:val="24"/>
        </w:rPr>
      </w:pPr>
      <w:r w:rsidRPr="00B46893">
        <w:rPr>
          <w:rFonts w:ascii="Times New Roman" w:hAnsi="Times New Roman" w:cs="Times New Roman"/>
          <w:b/>
          <w:sz w:val="24"/>
          <w:szCs w:val="24"/>
        </w:rPr>
        <w:t>Conclusion:</w:t>
      </w:r>
    </w:p>
    <w:p w:rsidR="00B46893" w:rsidRPr="00B46893" w:rsidRDefault="00B46893" w:rsidP="00D273DE">
      <w:pPr>
        <w:pStyle w:val="NormalWeb"/>
        <w:spacing w:line="360" w:lineRule="auto"/>
        <w:jc w:val="both"/>
      </w:pPr>
      <w:r w:rsidRPr="00B46893">
        <w:t xml:space="preserve">The study highlights the constraints faced by agricultural students in applying Bloom’s Taxonomy and suggests improvements to enhance their learning experience. Key challenges identified include </w:t>
      </w:r>
      <w:r w:rsidRPr="00B46893">
        <w:rPr>
          <w:rStyle w:val="Strong"/>
          <w:rFonts w:eastAsiaTheme="majorEastAsia"/>
        </w:rPr>
        <w:t>facility shortages, limited practical learning opportunities, inadequate access to study materials, and high exam anxiety</w:t>
      </w:r>
      <w:r w:rsidRPr="00B46893">
        <w:t xml:space="preserve">, all of which hinder students from fully engaging in higher-order thinking skills. Addressing these issues requires </w:t>
      </w:r>
      <w:r w:rsidRPr="00B46893">
        <w:rPr>
          <w:rStyle w:val="Strong"/>
          <w:rFonts w:eastAsiaTheme="majorEastAsia"/>
        </w:rPr>
        <w:t>improving infrastructure, incorporating experiential learning techniques, and ensuring better alignment between theoretical concepts and practical applications</w:t>
      </w:r>
      <w:r w:rsidRPr="00B46893">
        <w:t>.</w:t>
      </w:r>
    </w:p>
    <w:p w:rsidR="00B46893" w:rsidRPr="00B46893" w:rsidRDefault="00B46893" w:rsidP="00D273DE">
      <w:pPr>
        <w:pStyle w:val="NormalWeb"/>
        <w:spacing w:line="360" w:lineRule="auto"/>
        <w:jc w:val="both"/>
      </w:pPr>
      <w:r w:rsidRPr="00B46893">
        <w:lastRenderedPageBreak/>
        <w:t xml:space="preserve">The study also presents key suggestions from students, with </w:t>
      </w:r>
      <w:r w:rsidRPr="00B46893">
        <w:rPr>
          <w:rStyle w:val="Strong"/>
          <w:rFonts w:eastAsiaTheme="majorEastAsia"/>
        </w:rPr>
        <w:t>enhancing communication skills, encouraging mastery and hard work, and ensuring faculty availability</w:t>
      </w:r>
      <w:r w:rsidRPr="00B46893">
        <w:t xml:space="preserve"> ranking as the most important. Strengthening faculty expertise, upgrading lab facilities, and integrating agribusiness skills into the curriculum were also suggested as crucial steps to improve agricultural education.</w:t>
      </w:r>
    </w:p>
    <w:p w:rsidR="00B46893" w:rsidRPr="00B46893" w:rsidRDefault="00B46893" w:rsidP="00D273DE">
      <w:pPr>
        <w:pStyle w:val="NormalWeb"/>
        <w:spacing w:line="360" w:lineRule="auto"/>
        <w:jc w:val="both"/>
      </w:pPr>
      <w:r w:rsidRPr="00B46893">
        <w:t xml:space="preserve">To effectively implement Bloom’s Taxonomy in agricultural learning, it is essential to </w:t>
      </w:r>
      <w:r w:rsidRPr="00B46893">
        <w:rPr>
          <w:rStyle w:val="Strong"/>
          <w:rFonts w:eastAsiaTheme="majorEastAsia"/>
        </w:rPr>
        <w:t>adopt student-centered teaching approaches, provide sufficient learning resources, and promote skill-based education</w:t>
      </w:r>
      <w:r w:rsidRPr="00B46893">
        <w:t>. By addressing these constraints and implementing the suggested improvements, agricultural education can better equip students with critical thinking, problem-solving, and practical skills necessary for their professional success.</w:t>
      </w:r>
    </w:p>
    <w:p w:rsidR="00B46893" w:rsidRPr="00401A32" w:rsidRDefault="00B46893" w:rsidP="00D273DE">
      <w:pPr>
        <w:pStyle w:val="Heading3"/>
        <w:spacing w:line="360" w:lineRule="auto"/>
        <w:jc w:val="both"/>
        <w:rPr>
          <w:rFonts w:ascii="Times New Roman" w:hAnsi="Times New Roman" w:cs="Times New Roman"/>
          <w:color w:val="auto"/>
        </w:rPr>
      </w:pPr>
      <w:proofErr w:type="gramStart"/>
      <w:r w:rsidRPr="00401A32">
        <w:rPr>
          <w:rStyle w:val="Strong"/>
          <w:rFonts w:ascii="Times New Roman" w:hAnsi="Times New Roman" w:cs="Times New Roman"/>
          <w:bCs w:val="0"/>
          <w:color w:val="auto"/>
        </w:rPr>
        <w:t>Acknowledgment</w:t>
      </w:r>
      <w:r w:rsidR="00401A32">
        <w:rPr>
          <w:rStyle w:val="Strong"/>
          <w:rFonts w:ascii="Times New Roman" w:hAnsi="Times New Roman" w:cs="Times New Roman"/>
          <w:bCs w:val="0"/>
          <w:color w:val="auto"/>
        </w:rPr>
        <w:t xml:space="preserve"> :</w:t>
      </w:r>
      <w:proofErr w:type="gramEnd"/>
    </w:p>
    <w:p w:rsidR="00B46893" w:rsidRPr="00B46893" w:rsidRDefault="00B46893" w:rsidP="00D273DE">
      <w:pPr>
        <w:pStyle w:val="NormalWeb"/>
        <w:spacing w:line="360" w:lineRule="auto"/>
        <w:jc w:val="both"/>
      </w:pPr>
      <w:bookmarkStart w:id="0" w:name="_GoBack"/>
      <w:r w:rsidRPr="00B46893">
        <w:t xml:space="preserve">I would like to express my sincere gratitude to my </w:t>
      </w:r>
      <w:r w:rsidRPr="00B46893">
        <w:rPr>
          <w:rStyle w:val="Strong"/>
          <w:rFonts w:eastAsiaTheme="majorEastAsia"/>
        </w:rPr>
        <w:t>Major Advisor, Dr. T. Ram Sunder</w:t>
      </w:r>
      <w:r w:rsidRPr="00B46893">
        <w:t xml:space="preserve">, Assistant Professor, </w:t>
      </w:r>
      <w:r w:rsidRPr="00B46893">
        <w:rPr>
          <w:rStyle w:val="Strong"/>
          <w:rFonts w:eastAsiaTheme="majorEastAsia"/>
        </w:rPr>
        <w:t>Department of Agricultural Extension Education, Institute of Agriculture Research &amp; Technology, Muthuramalingapuram</w:t>
      </w:r>
      <w:r w:rsidRPr="00B46893">
        <w:t>, for his invaluable guidance, encouragement, and support throughout this study. His expertise and insightful suggestions have greatly contributed to the successful completion of this research.</w:t>
      </w:r>
    </w:p>
    <w:p w:rsidR="00B46893" w:rsidRPr="00B46893" w:rsidRDefault="00B46893" w:rsidP="00D273DE">
      <w:pPr>
        <w:pStyle w:val="NormalWeb"/>
        <w:spacing w:line="360" w:lineRule="auto"/>
        <w:jc w:val="both"/>
      </w:pPr>
      <w:r w:rsidRPr="00B46893">
        <w:t xml:space="preserve">I am also deeply thankful to the </w:t>
      </w:r>
      <w:r w:rsidRPr="00B46893">
        <w:rPr>
          <w:rStyle w:val="Strong"/>
          <w:rFonts w:eastAsiaTheme="majorEastAsia"/>
        </w:rPr>
        <w:t>farmers</w:t>
      </w:r>
      <w:r w:rsidRPr="00B46893">
        <w:t xml:space="preserve"> who generously shared their time and provided valuable information during my survey visits. Their cooperation and firsthand experiences were instrumental in enriching the findings of this study.</w:t>
      </w:r>
    </w:p>
    <w:p w:rsidR="00B46893" w:rsidRDefault="00B46893" w:rsidP="00D273DE">
      <w:pPr>
        <w:pStyle w:val="NormalWeb"/>
        <w:spacing w:line="360" w:lineRule="auto"/>
        <w:jc w:val="both"/>
      </w:pPr>
      <w:r w:rsidRPr="00B46893">
        <w:t>Finally, I extend my appreciation to my family, friends, and colleagues for their constant support and motivation throughout this research journey.</w:t>
      </w:r>
    </w:p>
    <w:bookmarkEnd w:id="0"/>
    <w:p w:rsidR="00D273DE" w:rsidRDefault="00D273DE" w:rsidP="00D273DE">
      <w:pPr>
        <w:pStyle w:val="NormalWeb"/>
        <w:spacing w:line="360" w:lineRule="auto"/>
        <w:jc w:val="both"/>
        <w:rPr>
          <w:b/>
        </w:rPr>
      </w:pPr>
      <w:r w:rsidRPr="00D273DE">
        <w:rPr>
          <w:b/>
        </w:rPr>
        <w:t>Referancres:</w:t>
      </w:r>
    </w:p>
    <w:p w:rsidR="002774BD" w:rsidRPr="002774BD" w:rsidRDefault="002774BD" w:rsidP="002774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2774BD">
        <w:rPr>
          <w:rFonts w:ascii="Times New Roman" w:eastAsia="Times New Roman" w:hAnsi="Times New Roman" w:cs="Times New Roman"/>
          <w:sz w:val="24"/>
          <w:szCs w:val="24"/>
          <w:lang w:eastAsia="en-IN"/>
        </w:rPr>
        <w:t xml:space="preserve">Bloom, B. S. (1956). </w:t>
      </w:r>
      <w:r w:rsidRPr="002774BD">
        <w:rPr>
          <w:rFonts w:ascii="Times New Roman" w:eastAsia="Times New Roman" w:hAnsi="Times New Roman" w:cs="Times New Roman"/>
          <w:i/>
          <w:iCs/>
          <w:sz w:val="24"/>
          <w:szCs w:val="24"/>
          <w:lang w:eastAsia="en-IN"/>
        </w:rPr>
        <w:t>Taxonomy of educational objectives: The classification of educational goals. Handbook I: Cognitive domain.</w:t>
      </w:r>
      <w:r w:rsidRPr="002774BD">
        <w:rPr>
          <w:rFonts w:ascii="Times New Roman" w:eastAsia="Times New Roman" w:hAnsi="Times New Roman" w:cs="Times New Roman"/>
          <w:sz w:val="24"/>
          <w:szCs w:val="24"/>
          <w:lang w:eastAsia="en-IN"/>
        </w:rPr>
        <w:t xml:space="preserve"> McKay.</w:t>
      </w:r>
    </w:p>
    <w:p w:rsidR="002774BD" w:rsidRPr="002774BD" w:rsidRDefault="002774BD" w:rsidP="002774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2774BD">
        <w:rPr>
          <w:rFonts w:ascii="Times New Roman" w:eastAsia="Times New Roman" w:hAnsi="Times New Roman" w:cs="Times New Roman"/>
          <w:sz w:val="24"/>
          <w:szCs w:val="24"/>
          <w:lang w:eastAsia="en-IN"/>
        </w:rPr>
        <w:t xml:space="preserve">Anderson, L. W., &amp; Krathwohl, D. R. (2001). </w:t>
      </w:r>
      <w:r w:rsidRPr="002774BD">
        <w:rPr>
          <w:rFonts w:ascii="Times New Roman" w:eastAsia="Times New Roman" w:hAnsi="Times New Roman" w:cs="Times New Roman"/>
          <w:i/>
          <w:iCs/>
          <w:sz w:val="24"/>
          <w:szCs w:val="24"/>
          <w:lang w:eastAsia="en-IN"/>
        </w:rPr>
        <w:t>A revision of Bloom’s taxonomy of educational objectives.</w:t>
      </w:r>
      <w:r w:rsidRPr="002774BD">
        <w:rPr>
          <w:rFonts w:ascii="Times New Roman" w:eastAsia="Times New Roman" w:hAnsi="Times New Roman" w:cs="Times New Roman"/>
          <w:sz w:val="24"/>
          <w:szCs w:val="24"/>
          <w:lang w:eastAsia="en-IN"/>
        </w:rPr>
        <w:t xml:space="preserve"> Longman.</w:t>
      </w:r>
    </w:p>
    <w:p w:rsidR="002774BD" w:rsidRPr="002774BD" w:rsidRDefault="002774BD" w:rsidP="002774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2774BD">
        <w:rPr>
          <w:rFonts w:ascii="Times New Roman" w:eastAsia="Times New Roman" w:hAnsi="Times New Roman" w:cs="Times New Roman"/>
          <w:sz w:val="24"/>
          <w:szCs w:val="24"/>
          <w:lang w:eastAsia="en-IN"/>
        </w:rPr>
        <w:t xml:space="preserve">Biggs, J., &amp; Tang, C. (2011). </w:t>
      </w:r>
      <w:r w:rsidRPr="002774BD">
        <w:rPr>
          <w:rFonts w:ascii="Times New Roman" w:eastAsia="Times New Roman" w:hAnsi="Times New Roman" w:cs="Times New Roman"/>
          <w:i/>
          <w:iCs/>
          <w:sz w:val="24"/>
          <w:szCs w:val="24"/>
          <w:lang w:eastAsia="en-IN"/>
        </w:rPr>
        <w:t>Teaching for quality learning at university.</w:t>
      </w:r>
      <w:r w:rsidRPr="002774BD">
        <w:rPr>
          <w:rFonts w:ascii="Times New Roman" w:eastAsia="Times New Roman" w:hAnsi="Times New Roman" w:cs="Times New Roman"/>
          <w:sz w:val="24"/>
          <w:szCs w:val="24"/>
          <w:lang w:eastAsia="en-IN"/>
        </w:rPr>
        <w:t xml:space="preserve"> McGraw-Hill Education.</w:t>
      </w:r>
    </w:p>
    <w:p w:rsidR="002774BD" w:rsidRPr="002774BD" w:rsidRDefault="002774BD" w:rsidP="002774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2774BD">
        <w:rPr>
          <w:rFonts w:ascii="Times New Roman" w:eastAsia="Times New Roman" w:hAnsi="Times New Roman" w:cs="Times New Roman"/>
          <w:sz w:val="24"/>
          <w:szCs w:val="24"/>
          <w:lang w:eastAsia="en-IN"/>
        </w:rPr>
        <w:lastRenderedPageBreak/>
        <w:t xml:space="preserve">Krathwohl, D. R. (2002). A revision of Bloom’s taxonomy: An overview. </w:t>
      </w:r>
      <w:r w:rsidRPr="002774BD">
        <w:rPr>
          <w:rFonts w:ascii="Times New Roman" w:eastAsia="Times New Roman" w:hAnsi="Times New Roman" w:cs="Times New Roman"/>
          <w:i/>
          <w:iCs/>
          <w:sz w:val="24"/>
          <w:szCs w:val="24"/>
          <w:lang w:eastAsia="en-IN"/>
        </w:rPr>
        <w:t>Theory into Practice, 41</w:t>
      </w:r>
      <w:r w:rsidRPr="002774BD">
        <w:rPr>
          <w:rFonts w:ascii="Times New Roman" w:eastAsia="Times New Roman" w:hAnsi="Times New Roman" w:cs="Times New Roman"/>
          <w:sz w:val="24"/>
          <w:szCs w:val="24"/>
          <w:lang w:eastAsia="en-IN"/>
        </w:rPr>
        <w:t>(4), 212–218. https://doi.org/10.1207/s15430421tip4104_2</w:t>
      </w:r>
    </w:p>
    <w:p w:rsidR="002774BD" w:rsidRPr="002774BD" w:rsidRDefault="002774BD" w:rsidP="002774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2774BD">
        <w:rPr>
          <w:rFonts w:ascii="Times New Roman" w:eastAsia="Times New Roman" w:hAnsi="Times New Roman" w:cs="Times New Roman"/>
          <w:sz w:val="24"/>
          <w:szCs w:val="24"/>
          <w:lang w:eastAsia="en-IN"/>
        </w:rPr>
        <w:t xml:space="preserve">Kolb, D. A. (1984). </w:t>
      </w:r>
      <w:r w:rsidRPr="002774BD">
        <w:rPr>
          <w:rFonts w:ascii="Times New Roman" w:eastAsia="Times New Roman" w:hAnsi="Times New Roman" w:cs="Times New Roman"/>
          <w:i/>
          <w:iCs/>
          <w:sz w:val="24"/>
          <w:szCs w:val="24"/>
          <w:lang w:eastAsia="en-IN"/>
        </w:rPr>
        <w:t>Experiential learning: Experience as the source of learning and development.</w:t>
      </w:r>
      <w:r w:rsidRPr="002774BD">
        <w:rPr>
          <w:rFonts w:ascii="Times New Roman" w:eastAsia="Times New Roman" w:hAnsi="Times New Roman" w:cs="Times New Roman"/>
          <w:sz w:val="24"/>
          <w:szCs w:val="24"/>
          <w:lang w:eastAsia="en-IN"/>
        </w:rPr>
        <w:t xml:space="preserve"> Prentice Hall.</w:t>
      </w:r>
    </w:p>
    <w:p w:rsidR="002774BD" w:rsidRPr="002774BD" w:rsidRDefault="002774BD" w:rsidP="002774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2774BD">
        <w:rPr>
          <w:rFonts w:ascii="Times New Roman" w:eastAsia="Times New Roman" w:hAnsi="Times New Roman" w:cs="Times New Roman"/>
          <w:sz w:val="24"/>
          <w:szCs w:val="24"/>
          <w:lang w:eastAsia="en-IN"/>
        </w:rPr>
        <w:t xml:space="preserve">Shulman, L. S. (1986). Those who understand: Knowledge growth in teaching. </w:t>
      </w:r>
      <w:r w:rsidRPr="002774BD">
        <w:rPr>
          <w:rFonts w:ascii="Times New Roman" w:eastAsia="Times New Roman" w:hAnsi="Times New Roman" w:cs="Times New Roman"/>
          <w:i/>
          <w:iCs/>
          <w:sz w:val="24"/>
          <w:szCs w:val="24"/>
          <w:lang w:eastAsia="en-IN"/>
        </w:rPr>
        <w:t>Educational Researcher, 15</w:t>
      </w:r>
      <w:r w:rsidRPr="002774BD">
        <w:rPr>
          <w:rFonts w:ascii="Times New Roman" w:eastAsia="Times New Roman" w:hAnsi="Times New Roman" w:cs="Times New Roman"/>
          <w:sz w:val="24"/>
          <w:szCs w:val="24"/>
          <w:lang w:eastAsia="en-IN"/>
        </w:rPr>
        <w:t>(2), 4–14. https://doi.org/10.3102/0013189X015002004</w:t>
      </w:r>
    </w:p>
    <w:p w:rsidR="002774BD" w:rsidRPr="002774BD" w:rsidRDefault="002774BD" w:rsidP="002774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2774BD">
        <w:rPr>
          <w:rFonts w:ascii="Times New Roman" w:eastAsia="Times New Roman" w:hAnsi="Times New Roman" w:cs="Times New Roman"/>
          <w:sz w:val="24"/>
          <w:szCs w:val="24"/>
          <w:lang w:eastAsia="en-IN"/>
        </w:rPr>
        <w:t xml:space="preserve">Patil, V. C., &amp; Kulkarni, S. D. (2020). Application of Bloom’s taxonomy in agricultural education: A case study. </w:t>
      </w:r>
      <w:r w:rsidRPr="002774BD">
        <w:rPr>
          <w:rFonts w:ascii="Times New Roman" w:eastAsia="Times New Roman" w:hAnsi="Times New Roman" w:cs="Times New Roman"/>
          <w:i/>
          <w:iCs/>
          <w:sz w:val="24"/>
          <w:szCs w:val="24"/>
          <w:lang w:eastAsia="en-IN"/>
        </w:rPr>
        <w:t>Journal of Agricultural Research and Education, 25</w:t>
      </w:r>
      <w:r w:rsidRPr="002774BD">
        <w:rPr>
          <w:rFonts w:ascii="Times New Roman" w:eastAsia="Times New Roman" w:hAnsi="Times New Roman" w:cs="Times New Roman"/>
          <w:sz w:val="24"/>
          <w:szCs w:val="24"/>
          <w:lang w:eastAsia="en-IN"/>
        </w:rPr>
        <w:t>(1), 45–56.</w:t>
      </w:r>
    </w:p>
    <w:p w:rsidR="002774BD" w:rsidRPr="002774BD" w:rsidRDefault="002774BD" w:rsidP="002774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2774BD">
        <w:rPr>
          <w:rFonts w:ascii="Times New Roman" w:eastAsia="Times New Roman" w:hAnsi="Times New Roman" w:cs="Times New Roman"/>
          <w:sz w:val="24"/>
          <w:szCs w:val="24"/>
          <w:lang w:eastAsia="en-IN"/>
        </w:rPr>
        <w:t xml:space="preserve">Singh, R., &amp; Meena, B. S. (2019). Challenges and innovations in agricultural extension education. </w:t>
      </w:r>
      <w:r w:rsidRPr="002774BD">
        <w:rPr>
          <w:rFonts w:ascii="Times New Roman" w:eastAsia="Times New Roman" w:hAnsi="Times New Roman" w:cs="Times New Roman"/>
          <w:i/>
          <w:iCs/>
          <w:sz w:val="24"/>
          <w:szCs w:val="24"/>
          <w:lang w:eastAsia="en-IN"/>
        </w:rPr>
        <w:t>Indian Journal of Extension Education, 55</w:t>
      </w:r>
      <w:r w:rsidRPr="002774BD">
        <w:rPr>
          <w:rFonts w:ascii="Times New Roman" w:eastAsia="Times New Roman" w:hAnsi="Times New Roman" w:cs="Times New Roman"/>
          <w:sz w:val="24"/>
          <w:szCs w:val="24"/>
          <w:lang w:eastAsia="en-IN"/>
        </w:rPr>
        <w:t>(2), 89–97.</w:t>
      </w:r>
    </w:p>
    <w:p w:rsidR="00B46893" w:rsidRPr="00717FA5" w:rsidRDefault="00B46893" w:rsidP="00D273DE">
      <w:pPr>
        <w:spacing w:line="360" w:lineRule="auto"/>
        <w:jc w:val="both"/>
        <w:rPr>
          <w:rFonts w:ascii="Times New Roman" w:hAnsi="Times New Roman" w:cs="Times New Roman"/>
          <w:sz w:val="24"/>
          <w:szCs w:val="24"/>
        </w:rPr>
      </w:pPr>
    </w:p>
    <w:p w:rsidR="00B46893" w:rsidRPr="00B46893" w:rsidRDefault="00B46893" w:rsidP="00D273DE">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B46893" w:rsidRPr="00B46893" w:rsidRDefault="00B46893" w:rsidP="00D273DE">
      <w:pPr>
        <w:spacing w:line="360" w:lineRule="auto"/>
        <w:jc w:val="both"/>
        <w:rPr>
          <w:rFonts w:ascii="Times New Roman" w:hAnsi="Times New Roman" w:cs="Times New Roman"/>
          <w:b/>
          <w:sz w:val="24"/>
          <w:szCs w:val="24"/>
        </w:rPr>
      </w:pPr>
    </w:p>
    <w:p w:rsidR="0089792F" w:rsidRPr="00B46893" w:rsidRDefault="0089792F" w:rsidP="00D273DE">
      <w:pPr>
        <w:pStyle w:val="NormalWeb"/>
        <w:spacing w:line="360" w:lineRule="auto"/>
        <w:jc w:val="both"/>
        <w:rPr>
          <w:b/>
        </w:rPr>
      </w:pPr>
    </w:p>
    <w:p w:rsidR="00893A8F" w:rsidRPr="00B46893" w:rsidRDefault="00893A8F" w:rsidP="00D273DE">
      <w:pPr>
        <w:pStyle w:val="NormalWeb"/>
        <w:spacing w:line="360" w:lineRule="auto"/>
        <w:jc w:val="both"/>
        <w:rPr>
          <w:b/>
        </w:rPr>
      </w:pPr>
    </w:p>
    <w:p w:rsidR="00893A8F" w:rsidRPr="00B46893" w:rsidRDefault="00893A8F" w:rsidP="00D273DE">
      <w:pPr>
        <w:spacing w:line="360" w:lineRule="auto"/>
        <w:jc w:val="both"/>
        <w:rPr>
          <w:rFonts w:ascii="Times New Roman" w:hAnsi="Times New Roman" w:cs="Times New Roman"/>
          <w:b/>
          <w:sz w:val="28"/>
          <w:szCs w:val="28"/>
        </w:rPr>
      </w:pPr>
    </w:p>
    <w:sectPr w:rsidR="00893A8F" w:rsidRPr="00B46893" w:rsidSect="005D2F72">
      <w:pgSz w:w="11906" w:h="16838"/>
      <w:pgMar w:top="1440" w:right="991" w:bottom="1440"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06B2A"/>
    <w:multiLevelType w:val="hybridMultilevel"/>
    <w:tmpl w:val="B6ECF906"/>
    <w:lvl w:ilvl="0" w:tplc="E0A264B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6402FD"/>
    <w:multiLevelType w:val="hybridMultilevel"/>
    <w:tmpl w:val="572CA0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B078EF"/>
    <w:multiLevelType w:val="hybridMultilevel"/>
    <w:tmpl w:val="744045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4037561"/>
    <w:multiLevelType w:val="hybridMultilevel"/>
    <w:tmpl w:val="572CA0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8AA5CEA"/>
    <w:multiLevelType w:val="hybridMultilevel"/>
    <w:tmpl w:val="068A3264"/>
    <w:lvl w:ilvl="0" w:tplc="647AF3F8">
      <w:numFmt w:val="bullet"/>
      <w:lvlText w:val=""/>
      <w:lvlJc w:val="left"/>
      <w:pPr>
        <w:ind w:left="825" w:hanging="465"/>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8F"/>
    <w:rsid w:val="002774BD"/>
    <w:rsid w:val="00293FB0"/>
    <w:rsid w:val="00397538"/>
    <w:rsid w:val="00401A32"/>
    <w:rsid w:val="00536808"/>
    <w:rsid w:val="005D2F72"/>
    <w:rsid w:val="00717FA5"/>
    <w:rsid w:val="007442ED"/>
    <w:rsid w:val="00893A8F"/>
    <w:rsid w:val="0089792F"/>
    <w:rsid w:val="00B46893"/>
    <w:rsid w:val="00D273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BC2A"/>
  <w15:chartTrackingRefBased/>
  <w15:docId w15:val="{3AE43E6B-5DCD-45B7-94AC-96FD0624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93A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93A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3A8F"/>
    <w:rPr>
      <w:color w:val="0563C1" w:themeColor="hyperlink"/>
      <w:u w:val="single"/>
    </w:rPr>
  </w:style>
  <w:style w:type="character" w:customStyle="1" w:styleId="Heading4Char">
    <w:name w:val="Heading 4 Char"/>
    <w:basedOn w:val="DefaultParagraphFont"/>
    <w:link w:val="Heading4"/>
    <w:uiPriority w:val="9"/>
    <w:semiHidden/>
    <w:rsid w:val="00893A8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893A8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93A8F"/>
    <w:rPr>
      <w:b/>
      <w:bCs/>
    </w:rPr>
  </w:style>
  <w:style w:type="paragraph" w:styleId="NormalWeb">
    <w:name w:val="Normal (Web)"/>
    <w:basedOn w:val="Normal"/>
    <w:uiPriority w:val="99"/>
    <w:semiHidden/>
    <w:unhideWhenUsed/>
    <w:rsid w:val="00893A8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B46893"/>
  </w:style>
  <w:style w:type="character" w:styleId="Emphasis">
    <w:name w:val="Emphasis"/>
    <w:basedOn w:val="DefaultParagraphFont"/>
    <w:uiPriority w:val="20"/>
    <w:qFormat/>
    <w:rsid w:val="00D273DE"/>
    <w:rPr>
      <w:i/>
      <w:iCs/>
    </w:rPr>
  </w:style>
  <w:style w:type="paragraph" w:styleId="ListParagraph">
    <w:name w:val="List Paragraph"/>
    <w:basedOn w:val="Normal"/>
    <w:uiPriority w:val="34"/>
    <w:qFormat/>
    <w:rsid w:val="00744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49">
      <w:bodyDiv w:val="1"/>
      <w:marLeft w:val="0"/>
      <w:marRight w:val="0"/>
      <w:marTop w:val="0"/>
      <w:marBottom w:val="0"/>
      <w:divBdr>
        <w:top w:val="none" w:sz="0" w:space="0" w:color="auto"/>
        <w:left w:val="none" w:sz="0" w:space="0" w:color="auto"/>
        <w:bottom w:val="none" w:sz="0" w:space="0" w:color="auto"/>
        <w:right w:val="none" w:sz="0" w:space="0" w:color="auto"/>
      </w:divBdr>
    </w:div>
    <w:div w:id="438766853">
      <w:bodyDiv w:val="1"/>
      <w:marLeft w:val="0"/>
      <w:marRight w:val="0"/>
      <w:marTop w:val="0"/>
      <w:marBottom w:val="0"/>
      <w:divBdr>
        <w:top w:val="none" w:sz="0" w:space="0" w:color="auto"/>
        <w:left w:val="none" w:sz="0" w:space="0" w:color="auto"/>
        <w:bottom w:val="none" w:sz="0" w:space="0" w:color="auto"/>
        <w:right w:val="none" w:sz="0" w:space="0" w:color="auto"/>
      </w:divBdr>
    </w:div>
    <w:div w:id="481626255">
      <w:bodyDiv w:val="1"/>
      <w:marLeft w:val="0"/>
      <w:marRight w:val="0"/>
      <w:marTop w:val="0"/>
      <w:marBottom w:val="0"/>
      <w:divBdr>
        <w:top w:val="none" w:sz="0" w:space="0" w:color="auto"/>
        <w:left w:val="none" w:sz="0" w:space="0" w:color="auto"/>
        <w:bottom w:val="none" w:sz="0" w:space="0" w:color="auto"/>
        <w:right w:val="none" w:sz="0" w:space="0" w:color="auto"/>
      </w:divBdr>
    </w:div>
    <w:div w:id="671881317">
      <w:bodyDiv w:val="1"/>
      <w:marLeft w:val="0"/>
      <w:marRight w:val="0"/>
      <w:marTop w:val="0"/>
      <w:marBottom w:val="0"/>
      <w:divBdr>
        <w:top w:val="none" w:sz="0" w:space="0" w:color="auto"/>
        <w:left w:val="none" w:sz="0" w:space="0" w:color="auto"/>
        <w:bottom w:val="none" w:sz="0" w:space="0" w:color="auto"/>
        <w:right w:val="none" w:sz="0" w:space="0" w:color="auto"/>
      </w:divBdr>
    </w:div>
    <w:div w:id="733822451">
      <w:bodyDiv w:val="1"/>
      <w:marLeft w:val="0"/>
      <w:marRight w:val="0"/>
      <w:marTop w:val="0"/>
      <w:marBottom w:val="0"/>
      <w:divBdr>
        <w:top w:val="none" w:sz="0" w:space="0" w:color="auto"/>
        <w:left w:val="none" w:sz="0" w:space="0" w:color="auto"/>
        <w:bottom w:val="none" w:sz="0" w:space="0" w:color="auto"/>
        <w:right w:val="none" w:sz="0" w:space="0" w:color="auto"/>
      </w:divBdr>
    </w:div>
    <w:div w:id="769669255">
      <w:bodyDiv w:val="1"/>
      <w:marLeft w:val="0"/>
      <w:marRight w:val="0"/>
      <w:marTop w:val="0"/>
      <w:marBottom w:val="0"/>
      <w:divBdr>
        <w:top w:val="none" w:sz="0" w:space="0" w:color="auto"/>
        <w:left w:val="none" w:sz="0" w:space="0" w:color="auto"/>
        <w:bottom w:val="none" w:sz="0" w:space="0" w:color="auto"/>
        <w:right w:val="none" w:sz="0" w:space="0" w:color="auto"/>
      </w:divBdr>
    </w:div>
    <w:div w:id="792358482">
      <w:bodyDiv w:val="1"/>
      <w:marLeft w:val="0"/>
      <w:marRight w:val="0"/>
      <w:marTop w:val="0"/>
      <w:marBottom w:val="0"/>
      <w:divBdr>
        <w:top w:val="none" w:sz="0" w:space="0" w:color="auto"/>
        <w:left w:val="none" w:sz="0" w:space="0" w:color="auto"/>
        <w:bottom w:val="none" w:sz="0" w:space="0" w:color="auto"/>
        <w:right w:val="none" w:sz="0" w:space="0" w:color="auto"/>
      </w:divBdr>
    </w:div>
    <w:div w:id="982271142">
      <w:bodyDiv w:val="1"/>
      <w:marLeft w:val="0"/>
      <w:marRight w:val="0"/>
      <w:marTop w:val="0"/>
      <w:marBottom w:val="0"/>
      <w:divBdr>
        <w:top w:val="none" w:sz="0" w:space="0" w:color="auto"/>
        <w:left w:val="none" w:sz="0" w:space="0" w:color="auto"/>
        <w:bottom w:val="none" w:sz="0" w:space="0" w:color="auto"/>
        <w:right w:val="none" w:sz="0" w:space="0" w:color="auto"/>
      </w:divBdr>
    </w:div>
    <w:div w:id="1395854249">
      <w:bodyDiv w:val="1"/>
      <w:marLeft w:val="0"/>
      <w:marRight w:val="0"/>
      <w:marTop w:val="0"/>
      <w:marBottom w:val="0"/>
      <w:divBdr>
        <w:top w:val="none" w:sz="0" w:space="0" w:color="auto"/>
        <w:left w:val="none" w:sz="0" w:space="0" w:color="auto"/>
        <w:bottom w:val="none" w:sz="0" w:space="0" w:color="auto"/>
        <w:right w:val="none" w:sz="0" w:space="0" w:color="auto"/>
      </w:divBdr>
    </w:div>
    <w:div w:id="1472558097">
      <w:bodyDiv w:val="1"/>
      <w:marLeft w:val="0"/>
      <w:marRight w:val="0"/>
      <w:marTop w:val="0"/>
      <w:marBottom w:val="0"/>
      <w:divBdr>
        <w:top w:val="none" w:sz="0" w:space="0" w:color="auto"/>
        <w:left w:val="none" w:sz="0" w:space="0" w:color="auto"/>
        <w:bottom w:val="none" w:sz="0" w:space="0" w:color="auto"/>
        <w:right w:val="none" w:sz="0" w:space="0" w:color="auto"/>
      </w:divBdr>
    </w:div>
    <w:div w:id="1591348298">
      <w:bodyDiv w:val="1"/>
      <w:marLeft w:val="0"/>
      <w:marRight w:val="0"/>
      <w:marTop w:val="0"/>
      <w:marBottom w:val="0"/>
      <w:divBdr>
        <w:top w:val="none" w:sz="0" w:space="0" w:color="auto"/>
        <w:left w:val="none" w:sz="0" w:space="0" w:color="auto"/>
        <w:bottom w:val="none" w:sz="0" w:space="0" w:color="auto"/>
        <w:right w:val="none" w:sz="0" w:space="0" w:color="auto"/>
      </w:divBdr>
    </w:div>
    <w:div w:id="1813477386">
      <w:bodyDiv w:val="1"/>
      <w:marLeft w:val="0"/>
      <w:marRight w:val="0"/>
      <w:marTop w:val="0"/>
      <w:marBottom w:val="0"/>
      <w:divBdr>
        <w:top w:val="none" w:sz="0" w:space="0" w:color="auto"/>
        <w:left w:val="none" w:sz="0" w:space="0" w:color="auto"/>
        <w:bottom w:val="none" w:sz="0" w:space="0" w:color="auto"/>
        <w:right w:val="none" w:sz="0" w:space="0" w:color="auto"/>
      </w:divBdr>
    </w:div>
    <w:div w:id="2072994779">
      <w:bodyDiv w:val="1"/>
      <w:marLeft w:val="0"/>
      <w:marRight w:val="0"/>
      <w:marTop w:val="0"/>
      <w:marBottom w:val="0"/>
      <w:divBdr>
        <w:top w:val="none" w:sz="0" w:space="0" w:color="auto"/>
        <w:left w:val="none" w:sz="0" w:space="0" w:color="auto"/>
        <w:bottom w:val="none" w:sz="0" w:space="0" w:color="auto"/>
        <w:right w:val="none" w:sz="0" w:space="0" w:color="auto"/>
      </w:divBdr>
      <w:divsChild>
        <w:div w:id="1404986609">
          <w:marLeft w:val="0"/>
          <w:marRight w:val="0"/>
          <w:marTop w:val="0"/>
          <w:marBottom w:val="0"/>
          <w:divBdr>
            <w:top w:val="none" w:sz="0" w:space="0" w:color="auto"/>
            <w:left w:val="none" w:sz="0" w:space="0" w:color="auto"/>
            <w:bottom w:val="none" w:sz="0" w:space="0" w:color="auto"/>
            <w:right w:val="none" w:sz="0" w:space="0" w:color="auto"/>
          </w:divBdr>
          <w:divsChild>
            <w:div w:id="815731619">
              <w:marLeft w:val="0"/>
              <w:marRight w:val="0"/>
              <w:marTop w:val="0"/>
              <w:marBottom w:val="0"/>
              <w:divBdr>
                <w:top w:val="none" w:sz="0" w:space="0" w:color="auto"/>
                <w:left w:val="none" w:sz="0" w:space="0" w:color="auto"/>
                <w:bottom w:val="none" w:sz="0" w:space="0" w:color="auto"/>
                <w:right w:val="none" w:sz="0" w:space="0" w:color="auto"/>
              </w:divBdr>
              <w:divsChild>
                <w:div w:id="229924108">
                  <w:marLeft w:val="0"/>
                  <w:marRight w:val="0"/>
                  <w:marTop w:val="0"/>
                  <w:marBottom w:val="0"/>
                  <w:divBdr>
                    <w:top w:val="none" w:sz="0" w:space="0" w:color="auto"/>
                    <w:left w:val="none" w:sz="0" w:space="0" w:color="auto"/>
                    <w:bottom w:val="none" w:sz="0" w:space="0" w:color="auto"/>
                    <w:right w:val="none" w:sz="0" w:space="0" w:color="auto"/>
                  </w:divBdr>
                  <w:divsChild>
                    <w:div w:id="19025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1923">
          <w:marLeft w:val="0"/>
          <w:marRight w:val="0"/>
          <w:marTop w:val="0"/>
          <w:marBottom w:val="0"/>
          <w:divBdr>
            <w:top w:val="none" w:sz="0" w:space="0" w:color="auto"/>
            <w:left w:val="none" w:sz="0" w:space="0" w:color="auto"/>
            <w:bottom w:val="none" w:sz="0" w:space="0" w:color="auto"/>
            <w:right w:val="none" w:sz="0" w:space="0" w:color="auto"/>
          </w:divBdr>
          <w:divsChild>
            <w:div w:id="209995742">
              <w:marLeft w:val="0"/>
              <w:marRight w:val="0"/>
              <w:marTop w:val="0"/>
              <w:marBottom w:val="0"/>
              <w:divBdr>
                <w:top w:val="none" w:sz="0" w:space="0" w:color="auto"/>
                <w:left w:val="none" w:sz="0" w:space="0" w:color="auto"/>
                <w:bottom w:val="none" w:sz="0" w:space="0" w:color="auto"/>
                <w:right w:val="none" w:sz="0" w:space="0" w:color="auto"/>
              </w:divBdr>
              <w:divsChild>
                <w:div w:id="1455709191">
                  <w:marLeft w:val="0"/>
                  <w:marRight w:val="0"/>
                  <w:marTop w:val="0"/>
                  <w:marBottom w:val="0"/>
                  <w:divBdr>
                    <w:top w:val="none" w:sz="0" w:space="0" w:color="auto"/>
                    <w:left w:val="none" w:sz="0" w:space="0" w:color="auto"/>
                    <w:bottom w:val="none" w:sz="0" w:space="0" w:color="auto"/>
                    <w:right w:val="none" w:sz="0" w:space="0" w:color="auto"/>
                  </w:divBdr>
                  <w:divsChild>
                    <w:div w:id="1662386855">
                      <w:marLeft w:val="0"/>
                      <w:marRight w:val="0"/>
                      <w:marTop w:val="0"/>
                      <w:marBottom w:val="0"/>
                      <w:divBdr>
                        <w:top w:val="none" w:sz="0" w:space="0" w:color="auto"/>
                        <w:left w:val="none" w:sz="0" w:space="0" w:color="auto"/>
                        <w:bottom w:val="none" w:sz="0" w:space="0" w:color="auto"/>
                        <w:right w:val="none" w:sz="0" w:space="0" w:color="auto"/>
                      </w:divBdr>
                      <w:divsChild>
                        <w:div w:id="2707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ikandan.iart@nmv.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2025-03-17T09:26:00Z</dcterms:created>
  <dcterms:modified xsi:type="dcterms:W3CDTF">2025-03-18T09:17:00Z</dcterms:modified>
</cp:coreProperties>
</file>