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33" w:rsidRPr="008E4712" w:rsidRDefault="00652433" w:rsidP="0065243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</w:rPr>
      </w:pPr>
      <w:r w:rsidRPr="008E4712">
        <w:rPr>
          <w:rFonts w:ascii="Bookman Old Style" w:hAnsi="Bookman Old Style" w:cs="Times New Roman"/>
          <w:b/>
        </w:rPr>
        <w:t>Herbicidal management of weeds in irrigated green gram (</w:t>
      </w:r>
      <w:proofErr w:type="spellStart"/>
      <w:r w:rsidRPr="008E4712">
        <w:rPr>
          <w:rFonts w:ascii="Bookman Old Style" w:hAnsi="Bookman Old Style" w:cs="Times New Roman"/>
          <w:b/>
          <w:i/>
        </w:rPr>
        <w:t>Vigna</w:t>
      </w:r>
      <w:proofErr w:type="spellEnd"/>
      <w:r w:rsidRPr="008E4712">
        <w:rPr>
          <w:rFonts w:ascii="Bookman Old Style" w:hAnsi="Bookman Old Style" w:cs="Times New Roman"/>
          <w:b/>
          <w:i/>
        </w:rPr>
        <w:t xml:space="preserve"> </w:t>
      </w:r>
      <w:proofErr w:type="spellStart"/>
      <w:r w:rsidRPr="008E4712">
        <w:rPr>
          <w:rFonts w:ascii="Bookman Old Style" w:hAnsi="Bookman Old Style" w:cs="Times New Roman"/>
          <w:b/>
          <w:i/>
        </w:rPr>
        <w:t>radiata</w:t>
      </w:r>
      <w:proofErr w:type="spellEnd"/>
      <w:r w:rsidRPr="008E4712">
        <w:rPr>
          <w:rFonts w:ascii="Bookman Old Style" w:hAnsi="Bookman Old Style" w:cs="Times New Roman"/>
          <w:b/>
        </w:rPr>
        <w:t xml:space="preserve"> (L.) </w:t>
      </w:r>
      <w:proofErr w:type="spellStart"/>
      <w:r w:rsidRPr="008E4712">
        <w:rPr>
          <w:rFonts w:ascii="Bookman Old Style" w:hAnsi="Bookman Old Style" w:cs="Times New Roman"/>
          <w:b/>
        </w:rPr>
        <w:t>Wilczek</w:t>
      </w:r>
      <w:proofErr w:type="spellEnd"/>
      <w:r w:rsidRPr="008E4712">
        <w:rPr>
          <w:rFonts w:ascii="Bookman Old Style" w:hAnsi="Bookman Old Style" w:cs="Times New Roman"/>
          <w:b/>
        </w:rPr>
        <w:t xml:space="preserve">) </w:t>
      </w:r>
    </w:p>
    <w:p w:rsidR="00652433" w:rsidRDefault="00652433" w:rsidP="00652433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b/>
        </w:rPr>
      </w:pPr>
    </w:p>
    <w:p w:rsidR="00652433" w:rsidRPr="008E4712" w:rsidRDefault="00652433" w:rsidP="00652433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b/>
        </w:rPr>
      </w:pPr>
      <w:r w:rsidRPr="008E4712">
        <w:rPr>
          <w:rFonts w:ascii="Bookman Old Style" w:hAnsi="Bookman Old Style" w:cs="Times New Roman"/>
          <w:b/>
        </w:rPr>
        <w:t>Abstract</w:t>
      </w:r>
    </w:p>
    <w:p w:rsidR="00652433" w:rsidRPr="008E4712" w:rsidRDefault="00652433" w:rsidP="00652433">
      <w:pPr>
        <w:spacing w:after="0"/>
        <w:ind w:firstLine="720"/>
        <w:jc w:val="both"/>
        <w:rPr>
          <w:rFonts w:ascii="Bookman Old Style" w:eastAsia="Times New Roman" w:hAnsi="Bookman Old Style" w:cs="Times New Roman"/>
        </w:rPr>
      </w:pPr>
      <w:r w:rsidRPr="008E4712">
        <w:rPr>
          <w:rFonts w:ascii="Bookman Old Style" w:eastAsia="Times New Roman" w:hAnsi="Bookman Old Style" w:cs="Times New Roman"/>
        </w:rPr>
        <w:t xml:space="preserve">Uncontrolled weed growth significantly reduces the productivity of short-duration </w:t>
      </w:r>
      <w:r w:rsidRPr="008E4712">
        <w:rPr>
          <w:rFonts w:ascii="Bookman Old Style" w:eastAsia="Times New Roman" w:hAnsi="Bookman Old Style" w:cs="Times New Roman"/>
          <w:bCs/>
        </w:rPr>
        <w:t>irrigated green gram</w:t>
      </w:r>
      <w:r w:rsidRPr="008E4712">
        <w:rPr>
          <w:rFonts w:ascii="Bookman Old Style" w:eastAsia="Times New Roman" w:hAnsi="Bookman Old Style" w:cs="Times New Roman"/>
        </w:rPr>
        <w:t xml:space="preserve">, necessitating timely and effective weed management. This study aimed to identify a </w:t>
      </w:r>
      <w:r w:rsidRPr="008E4712">
        <w:rPr>
          <w:rFonts w:ascii="Bookman Old Style" w:eastAsia="Times New Roman" w:hAnsi="Bookman Old Style" w:cs="Times New Roman"/>
          <w:bCs/>
        </w:rPr>
        <w:t>sustainable herbicidal strategy</w:t>
      </w:r>
      <w:r w:rsidRPr="008E4712">
        <w:rPr>
          <w:rFonts w:ascii="Bookman Old Style" w:eastAsia="Times New Roman" w:hAnsi="Bookman Old Style" w:cs="Times New Roman"/>
        </w:rPr>
        <w:t xml:space="preserve"> for green gram by evaluating the </w:t>
      </w:r>
      <w:r w:rsidRPr="008E4712">
        <w:rPr>
          <w:rFonts w:ascii="Bookman Old Style" w:eastAsia="Times New Roman" w:hAnsi="Bookman Old Style" w:cs="Times New Roman"/>
          <w:bCs/>
        </w:rPr>
        <w:t xml:space="preserve">efficacy,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phytotoxic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effects, yield impact, and economic viability</w:t>
      </w:r>
      <w:r w:rsidRPr="008E4712">
        <w:rPr>
          <w:rFonts w:ascii="Bookman Old Style" w:eastAsia="Times New Roman" w:hAnsi="Bookman Old Style" w:cs="Times New Roman"/>
        </w:rPr>
        <w:t xml:space="preserve"> of different herbicide treatments. The study compared </w:t>
      </w:r>
      <w:r w:rsidRPr="008E4712">
        <w:rPr>
          <w:rFonts w:ascii="Bookman Old Style" w:eastAsia="Times New Roman" w:hAnsi="Bookman Old Style" w:cs="Times New Roman"/>
          <w:bCs/>
        </w:rPr>
        <w:t>pre-emergence (PE) applications</w:t>
      </w:r>
      <w:r w:rsidRPr="008E4712">
        <w:rPr>
          <w:rFonts w:ascii="Bookman Old Style" w:eastAsia="Times New Roman" w:hAnsi="Bookman Old Style" w:cs="Times New Roman"/>
        </w:rPr>
        <w:t xml:space="preserve"> of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Pendimethalin</w:t>
      </w:r>
      <w:proofErr w:type="spellEnd"/>
      <w:r w:rsidRPr="008E4712">
        <w:rPr>
          <w:rFonts w:ascii="Bookman Old Style" w:eastAsia="Times New Roman" w:hAnsi="Bookman Old Style" w:cs="Times New Roman"/>
        </w:rPr>
        <w:t xml:space="preserve"> as well as </w:t>
      </w:r>
      <w:r w:rsidRPr="008E4712">
        <w:rPr>
          <w:rFonts w:ascii="Bookman Old Style" w:eastAsia="Times New Roman" w:hAnsi="Bookman Old Style" w:cs="Times New Roman"/>
          <w:bCs/>
        </w:rPr>
        <w:t>early post-emergence (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EPoE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>) applications</w:t>
      </w:r>
      <w:r w:rsidRPr="008E4712">
        <w:rPr>
          <w:rFonts w:ascii="Bookman Old Style" w:eastAsia="Times New Roman" w:hAnsi="Bookman Old Style" w:cs="Times New Roman"/>
        </w:rPr>
        <w:t xml:space="preserve"> (20 DAS) of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Imazethapyr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+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quizalofop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ethyl and Sodium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acifluorfen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+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Clodinafop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propargyl</w:t>
      </w:r>
      <w:proofErr w:type="spellEnd"/>
      <w:r w:rsidRPr="008E4712">
        <w:rPr>
          <w:rFonts w:ascii="Bookman Old Style" w:eastAsia="Times New Roman" w:hAnsi="Bookman Old Style" w:cs="Times New Roman"/>
        </w:rPr>
        <w:t xml:space="preserve">. Among the treatments, </w:t>
      </w:r>
      <w:r w:rsidRPr="008E4712">
        <w:rPr>
          <w:rFonts w:ascii="Bookman Old Style" w:eastAsia="Times New Roman" w:hAnsi="Bookman Old Style" w:cs="Times New Roman"/>
          <w:bCs/>
        </w:rPr>
        <w:t xml:space="preserve">PE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Pendimethlin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followed by (</w:t>
      </w:r>
      <w:proofErr w:type="spellStart"/>
      <w:r w:rsidRPr="008E4712">
        <w:rPr>
          <w:rFonts w:ascii="Bookman Old Style" w:eastAsia="Times New Roman" w:hAnsi="Bookman Old Style" w:cs="Times New Roman"/>
          <w:bCs/>
          <w:i/>
        </w:rPr>
        <w:t>fb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) and Sodium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acifluorfen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+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Clodinafop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propargyl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achieved significantly higher weed control efficiencies</w:t>
      </w:r>
      <w:r w:rsidRPr="008E4712">
        <w:rPr>
          <w:rFonts w:ascii="Bookman Old Style" w:eastAsia="Times New Roman" w:hAnsi="Bookman Old Style" w:cs="Times New Roman"/>
        </w:rPr>
        <w:t xml:space="preserve"> of </w:t>
      </w:r>
      <w:r w:rsidRPr="008E4712">
        <w:rPr>
          <w:rFonts w:ascii="Bookman Old Style" w:eastAsia="Times New Roman" w:hAnsi="Bookman Old Style" w:cs="Times New Roman"/>
          <w:bCs/>
        </w:rPr>
        <w:t>87.9%</w:t>
      </w:r>
      <w:r w:rsidRPr="008E4712">
        <w:rPr>
          <w:rFonts w:ascii="Bookman Old Style" w:eastAsia="Times New Roman" w:hAnsi="Bookman Old Style" w:cs="Times New Roman"/>
        </w:rPr>
        <w:t xml:space="preserve">, </w:t>
      </w:r>
      <w:r w:rsidRPr="008E4712">
        <w:rPr>
          <w:rFonts w:ascii="Bookman Old Style" w:eastAsia="Times New Roman" w:hAnsi="Bookman Old Style" w:cs="Times New Roman"/>
          <w:bCs/>
        </w:rPr>
        <w:t>(30 DAS) and 83.6 (45 DAS)</w:t>
      </w:r>
      <w:r w:rsidRPr="008E4712">
        <w:rPr>
          <w:rFonts w:ascii="Bookman Old Style" w:eastAsia="Times New Roman" w:hAnsi="Bookman Old Style" w:cs="Times New Roman"/>
        </w:rPr>
        <w:t xml:space="preserve">. Although these herbicide combinations initially induced </w:t>
      </w:r>
      <w:r w:rsidRPr="008E4712">
        <w:rPr>
          <w:rFonts w:ascii="Bookman Old Style" w:eastAsia="Times New Roman" w:hAnsi="Bookman Old Style" w:cs="Times New Roman"/>
          <w:bCs/>
        </w:rPr>
        <w:t xml:space="preserve">oxidative stress and minor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phytotoxicity</w:t>
      </w:r>
      <w:proofErr w:type="spellEnd"/>
      <w:r w:rsidRPr="008E4712">
        <w:rPr>
          <w:rFonts w:ascii="Bookman Old Style" w:eastAsia="Times New Roman" w:hAnsi="Bookman Old Style" w:cs="Times New Roman"/>
        </w:rPr>
        <w:t xml:space="preserve">, </w:t>
      </w:r>
      <w:r w:rsidRPr="008E4712">
        <w:rPr>
          <w:rFonts w:ascii="Bookman Old Style" w:eastAsia="Times New Roman" w:hAnsi="Bookman Old Style" w:cs="Times New Roman"/>
          <w:bCs/>
        </w:rPr>
        <w:t>the green gram plants fully recovered within 15 days of application</w:t>
      </w:r>
      <w:r w:rsidRPr="008E4712">
        <w:rPr>
          <w:rFonts w:ascii="Bookman Old Style" w:eastAsia="Times New Roman" w:hAnsi="Bookman Old Style" w:cs="Times New Roman"/>
        </w:rPr>
        <w:t xml:space="preserve">. These treatments led to </w:t>
      </w:r>
      <w:r w:rsidRPr="008E4712">
        <w:rPr>
          <w:rFonts w:ascii="Bookman Old Style" w:eastAsia="Times New Roman" w:hAnsi="Bookman Old Style" w:cs="Times New Roman"/>
          <w:bCs/>
        </w:rPr>
        <w:t>substantial yield improvements (33%) and higher net returns (48.5%) compared to the weedy check</w:t>
      </w:r>
      <w:r w:rsidRPr="008E4712">
        <w:rPr>
          <w:rFonts w:ascii="Bookman Old Style" w:eastAsia="Times New Roman" w:hAnsi="Bookman Old Style" w:cs="Times New Roman"/>
        </w:rPr>
        <w:t xml:space="preserve">. Thus, Application of PE </w:t>
      </w:r>
      <w:proofErr w:type="spellStart"/>
      <w:r w:rsidRPr="008E4712">
        <w:rPr>
          <w:rFonts w:ascii="Bookman Old Style" w:eastAsia="Times New Roman" w:hAnsi="Bookman Old Style" w:cs="Times New Roman"/>
        </w:rPr>
        <w:t>Pendimethalin</w:t>
      </w:r>
      <w:proofErr w:type="spellEnd"/>
      <w:r w:rsidRPr="008E4712">
        <w:rPr>
          <w:rFonts w:ascii="Bookman Old Style" w:eastAsia="Times New Roman" w:hAnsi="Bookman Old Style" w:cs="Times New Roman"/>
        </w:rPr>
        <w:t xml:space="preserve"> followed by </w:t>
      </w:r>
      <w:proofErr w:type="spellStart"/>
      <w:r w:rsidRPr="008E4712">
        <w:rPr>
          <w:rFonts w:ascii="Bookman Old Style" w:eastAsia="Times New Roman" w:hAnsi="Bookman Old Style" w:cs="Times New Roman"/>
        </w:rPr>
        <w:t>EPoE</w:t>
      </w:r>
      <w:proofErr w:type="spellEnd"/>
      <w:r w:rsidRPr="008E4712">
        <w:rPr>
          <w:rFonts w:ascii="Bookman Old Style" w:eastAsia="Times New Roman" w:hAnsi="Bookman Old Style" w:cs="Times New Roman"/>
        </w:rPr>
        <w:t xml:space="preserve"> </w:t>
      </w:r>
      <w:r w:rsidRPr="008E4712">
        <w:rPr>
          <w:rFonts w:ascii="Bookman Old Style" w:eastAsia="Times New Roman" w:hAnsi="Bookman Old Style" w:cs="Times New Roman"/>
          <w:bCs/>
        </w:rPr>
        <w:t xml:space="preserve">Sodium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Acifluorfen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+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Clodinafop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</w:t>
      </w:r>
      <w:proofErr w:type="spellStart"/>
      <w:r w:rsidRPr="008E4712">
        <w:rPr>
          <w:rFonts w:ascii="Bookman Old Style" w:eastAsia="Times New Roman" w:hAnsi="Bookman Old Style" w:cs="Times New Roman"/>
          <w:bCs/>
        </w:rPr>
        <w:t>propargyl</w:t>
      </w:r>
      <w:proofErr w:type="spellEnd"/>
      <w:r w:rsidRPr="008E4712">
        <w:rPr>
          <w:rFonts w:ascii="Bookman Old Style" w:eastAsia="Times New Roman" w:hAnsi="Bookman Old Style" w:cs="Times New Roman"/>
          <w:bCs/>
        </w:rPr>
        <w:t xml:space="preserve"> emerge as promising weed management strategies</w:t>
      </w:r>
      <w:r w:rsidRPr="008E4712">
        <w:rPr>
          <w:rFonts w:ascii="Bookman Old Style" w:eastAsia="Times New Roman" w:hAnsi="Bookman Old Style" w:cs="Times New Roman"/>
        </w:rPr>
        <w:t xml:space="preserve"> for irrigated green gram offering both </w:t>
      </w:r>
      <w:r w:rsidRPr="008E4712">
        <w:rPr>
          <w:rFonts w:ascii="Bookman Old Style" w:eastAsia="Times New Roman" w:hAnsi="Bookman Old Style" w:cs="Times New Roman"/>
          <w:bCs/>
        </w:rPr>
        <w:t>agronomic and economic benefits</w:t>
      </w:r>
      <w:r w:rsidRPr="008E4712">
        <w:rPr>
          <w:rFonts w:ascii="Bookman Old Style" w:eastAsia="Times New Roman" w:hAnsi="Bookman Old Style" w:cs="Times New Roman"/>
        </w:rPr>
        <w:t>.</w:t>
      </w:r>
    </w:p>
    <w:p w:rsidR="00B327EC" w:rsidRDefault="00B327EC"/>
    <w:sectPr w:rsidR="00B3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2433"/>
    <w:rsid w:val="00652433"/>
    <w:rsid w:val="00B3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DR.ANITHA</dc:creator>
  <cp:keywords/>
  <dc:description/>
  <cp:lastModifiedBy>DR.ANITHA</cp:lastModifiedBy>
  <cp:revision>2</cp:revision>
  <dcterms:created xsi:type="dcterms:W3CDTF">2025-04-03T10:54:00Z</dcterms:created>
  <dcterms:modified xsi:type="dcterms:W3CDTF">2025-04-03T10:54:00Z</dcterms:modified>
</cp:coreProperties>
</file>