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3F7EF" w14:textId="77777777" w:rsidR="00AC012A" w:rsidRPr="00B17964" w:rsidRDefault="00AC012A" w:rsidP="00AC012A">
      <w:pPr>
        <w:rPr>
          <w:rFonts w:ascii="Franklin Gothic Medium" w:hAnsi="Franklin Gothic Medium" w:cs="Times New Roman"/>
          <w:b/>
          <w:sz w:val="28"/>
          <w:szCs w:val="28"/>
        </w:rPr>
      </w:pPr>
      <w:r w:rsidRPr="00B17964">
        <w:rPr>
          <w:rFonts w:ascii="Franklin Gothic Medium" w:hAnsi="Franklin Gothic Medium" w:cs="Times New Roman"/>
          <w:b/>
          <w:sz w:val="28"/>
          <w:szCs w:val="28"/>
        </w:rPr>
        <w:t>Malnutrition and Hunger in South Asia: A Historical and Contemporary Analysis</w:t>
      </w:r>
    </w:p>
    <w:p w14:paraId="7D1B5853" w14:textId="77777777" w:rsidR="00AC012A" w:rsidRPr="00AC012A" w:rsidRDefault="00AC012A" w:rsidP="00AC012A">
      <w:pPr>
        <w:rPr>
          <w:rFonts w:ascii="Times New Roman" w:hAnsi="Times New Roman" w:cs="Times New Roman"/>
          <w:b/>
          <w:sz w:val="24"/>
          <w:szCs w:val="24"/>
        </w:rPr>
      </w:pPr>
    </w:p>
    <w:p w14:paraId="1D185374" w14:textId="063A94F4" w:rsidR="00AC012A" w:rsidRPr="00A804D1" w:rsidRDefault="00AC012A" w:rsidP="00AC012A">
      <w:pPr>
        <w:rPr>
          <w:rFonts w:ascii="Franklin Gothic Book" w:hAnsi="Franklin Gothic Book" w:cs="Times New Roman"/>
          <w:b/>
        </w:rPr>
      </w:pPr>
      <w:r w:rsidRPr="00A804D1">
        <w:rPr>
          <w:rFonts w:ascii="Franklin Gothic Book" w:hAnsi="Franklin Gothic Book" w:cs="Times New Roman"/>
          <w:b/>
        </w:rPr>
        <w:t>A</w:t>
      </w:r>
      <w:r w:rsidR="00340CC9" w:rsidRPr="00A804D1">
        <w:rPr>
          <w:rFonts w:ascii="Franklin Gothic Book" w:hAnsi="Franklin Gothic Book" w:cs="Times New Roman"/>
          <w:b/>
        </w:rPr>
        <w:t>BSTRACT</w:t>
      </w:r>
    </w:p>
    <w:p w14:paraId="494640D0" w14:textId="77777777" w:rsidR="00AC012A" w:rsidRPr="00340CC9" w:rsidRDefault="00AC012A" w:rsidP="00AC012A">
      <w:pPr>
        <w:rPr>
          <w:rFonts w:ascii="Franklin Gothic Book" w:hAnsi="Franklin Gothic Book" w:cs="Times New Roman"/>
          <w:sz w:val="20"/>
          <w:szCs w:val="20"/>
        </w:rPr>
      </w:pPr>
      <w:r w:rsidRPr="00340CC9">
        <w:rPr>
          <w:rFonts w:ascii="Franklin Gothic Book" w:hAnsi="Franklin Gothic Book" w:cs="Times New Roman"/>
          <w:sz w:val="20"/>
          <w:szCs w:val="20"/>
        </w:rPr>
        <w:t xml:space="preserve">Malnutrition is a blot on India’s quest for development and sovereignty. India aspiring as a developed nation by 2047 based on human-centric development is questionable without eradicating the problem of malnutrition. This article discusses the malnutrition and hunger in South Asia, particularly in India. The concept and problem of malnutrition has transformed itself from colonial to contemporary period. The article shows that malnutrition once a problem of rural India has transformed itself into a pan-India phenomenon. The hunger, poverty and global development goals has reformulated the problem of nutrition and its associated solutions. The article also speaks about the dilemma of policymakers and experts to have a stable understanding of nutrition problem. Although the need for a shift towards indigenous food systems to address the problem of malnutrition sprang up after the Green Revolution. The issues of geographical specificities, local governance structures and basic infrastructural problems are adding to the complexities of the malnutrition. This paper introduces the problematisation of nutritional problems in India after the green revolution. </w:t>
      </w:r>
    </w:p>
    <w:p w14:paraId="273143D4" w14:textId="77777777" w:rsidR="00AC012A" w:rsidRPr="00340CC9" w:rsidRDefault="00AC012A" w:rsidP="00AC012A">
      <w:pPr>
        <w:rPr>
          <w:rFonts w:ascii="Franklin Gothic Book" w:hAnsi="Franklin Gothic Book" w:cs="Times New Roman"/>
          <w:sz w:val="20"/>
          <w:szCs w:val="20"/>
        </w:rPr>
      </w:pPr>
    </w:p>
    <w:p w14:paraId="3AD3660B" w14:textId="2BC6B26C" w:rsidR="00AC012A" w:rsidRPr="00562888" w:rsidRDefault="00AC012A" w:rsidP="00562888">
      <w:pPr>
        <w:rPr>
          <w:rFonts w:ascii="Franklin Gothic Book" w:hAnsi="Franklin Gothic Book" w:cs="Times New Roman"/>
          <w:sz w:val="20"/>
          <w:szCs w:val="20"/>
        </w:rPr>
      </w:pPr>
      <w:r w:rsidRPr="00340CC9">
        <w:rPr>
          <w:rFonts w:ascii="Franklin Gothic Book" w:hAnsi="Franklin Gothic Book" w:cs="Times New Roman"/>
          <w:b/>
          <w:sz w:val="20"/>
          <w:szCs w:val="20"/>
        </w:rPr>
        <w:t xml:space="preserve">Keywords: </w:t>
      </w:r>
      <w:r w:rsidRPr="00340CC9">
        <w:rPr>
          <w:rFonts w:ascii="Franklin Gothic Book" w:hAnsi="Franklin Gothic Book" w:cs="Times New Roman"/>
          <w:sz w:val="20"/>
          <w:szCs w:val="20"/>
        </w:rPr>
        <w:t xml:space="preserve">Malnutrition, Green Revolution, Hunger, Poverty, Sustainable Development Goals </w:t>
      </w:r>
    </w:p>
    <w:p w14:paraId="15842BD9" w14:textId="1C24E270" w:rsidR="00AC012A" w:rsidRPr="006E0CA6" w:rsidRDefault="00AC012A" w:rsidP="0097138B">
      <w:pPr>
        <w:pStyle w:val="Heading2"/>
        <w:rPr>
          <w:rFonts w:ascii="Franklin Gothic Book" w:hAnsi="Franklin Gothic Book"/>
          <w:b/>
          <w:color w:val="auto"/>
          <w:sz w:val="22"/>
          <w:szCs w:val="22"/>
        </w:rPr>
      </w:pPr>
      <w:r w:rsidRPr="006E0CA6">
        <w:rPr>
          <w:rFonts w:ascii="Franklin Gothic Book" w:hAnsi="Franklin Gothic Book"/>
          <w:b/>
          <w:color w:val="auto"/>
          <w:sz w:val="22"/>
          <w:szCs w:val="22"/>
        </w:rPr>
        <w:t>I</w:t>
      </w:r>
      <w:r w:rsidR="0097138B" w:rsidRPr="006E0CA6">
        <w:rPr>
          <w:rFonts w:ascii="Franklin Gothic Book" w:hAnsi="Franklin Gothic Book"/>
          <w:b/>
          <w:color w:val="auto"/>
          <w:sz w:val="22"/>
          <w:szCs w:val="22"/>
        </w:rPr>
        <w:t>NTRODUCTION</w:t>
      </w:r>
    </w:p>
    <w:p w14:paraId="1FD3C352" w14:textId="049C3256" w:rsidR="008D2767" w:rsidRDefault="00507CF3" w:rsidP="00507CF3">
      <w:pPr>
        <w:rPr>
          <w:rFonts w:ascii="Franklin Gothic Book" w:hAnsi="Franklin Gothic Book" w:cs="Times New Roman"/>
          <w:sz w:val="20"/>
          <w:szCs w:val="20"/>
        </w:rPr>
      </w:pPr>
      <w:r w:rsidRPr="00340CC9">
        <w:rPr>
          <w:rFonts w:ascii="Franklin Gothic Book" w:hAnsi="Franklin Gothic Book" w:cs="Times New Roman"/>
          <w:sz w:val="20"/>
          <w:szCs w:val="20"/>
        </w:rPr>
        <w:t>South Asia faced the issues of hunger and malnutrition during the colonial and postcolonial periods. People of the lower economic strata are largely affected, especially children. Due to this, children are stunted and wasted, making them prone to frequent illness; women face a risk of life during pregnancy. According to the National Family Health Survey (NFHS) 2019-21, the 5th in the series India has seen no significant improvement in health and nutritional status among the population</w:t>
      </w:r>
      <w:r w:rsidR="00B85A19">
        <w:rPr>
          <w:rFonts w:ascii="Franklin Gothic Book" w:hAnsi="Franklin Gothic Book" w:cs="Times New Roman"/>
          <w:sz w:val="20"/>
          <w:szCs w:val="20"/>
        </w:rPr>
        <w:t xml:space="preserve"> (Suri 2021)</w:t>
      </w:r>
      <w:r w:rsidRPr="00340CC9">
        <w:rPr>
          <w:rFonts w:ascii="Franklin Gothic Book" w:hAnsi="Franklin Gothic Book" w:cs="Times New Roman"/>
          <w:sz w:val="20"/>
          <w:szCs w:val="20"/>
        </w:rPr>
        <w:t>. Economic growth and the curtailment of the balanced diet of rural people show prevalent inequality. Factors related to malnutrition include a lack of education, rampant poverty, and insatiable hunger.  India was ranked 111 among 125 countries in the Global Hunger Index report released by two European agencies on 12 October 2023</w:t>
      </w:r>
      <w:r w:rsidR="00F91DFE">
        <w:rPr>
          <w:rFonts w:ascii="Franklin Gothic Book" w:hAnsi="Franklin Gothic Book" w:cs="Times New Roman"/>
          <w:sz w:val="20"/>
          <w:szCs w:val="20"/>
        </w:rPr>
        <w:t xml:space="preserve"> (Kaur 2023)</w:t>
      </w:r>
      <w:r w:rsidRPr="00340CC9">
        <w:rPr>
          <w:rFonts w:ascii="Franklin Gothic Book" w:hAnsi="Franklin Gothic Book" w:cs="Times New Roman"/>
          <w:sz w:val="20"/>
          <w:szCs w:val="20"/>
        </w:rPr>
        <w:t>. Year after year, India has attained a higher score, that is, its performance is poor in empowering poor communities. Even household financial security fails to counter nutritional deficits</w:t>
      </w:r>
      <w:r w:rsidR="00F91DFE">
        <w:rPr>
          <w:rFonts w:ascii="Franklin Gothic Book" w:hAnsi="Franklin Gothic Book" w:cs="Times New Roman"/>
          <w:sz w:val="20"/>
          <w:szCs w:val="20"/>
        </w:rPr>
        <w:t xml:space="preserve"> (</w:t>
      </w:r>
      <w:r w:rsidR="00F91DFE" w:rsidRPr="00F91DFE">
        <w:rPr>
          <w:rFonts w:ascii="Franklin Gothic Book" w:hAnsi="Franklin Gothic Book" w:cs="Times New Roman"/>
          <w:sz w:val="20"/>
          <w:szCs w:val="20"/>
        </w:rPr>
        <w:t xml:space="preserve">Chakravorty and Manisha </w:t>
      </w:r>
      <w:r w:rsidR="00F91DFE">
        <w:rPr>
          <w:rFonts w:ascii="Franklin Gothic Book" w:hAnsi="Franklin Gothic Book" w:cs="Times New Roman"/>
          <w:sz w:val="20"/>
          <w:szCs w:val="20"/>
        </w:rPr>
        <w:t>2023)</w:t>
      </w:r>
      <w:r w:rsidRPr="00340CC9">
        <w:rPr>
          <w:rFonts w:ascii="Franklin Gothic Book" w:hAnsi="Franklin Gothic Book" w:cs="Times New Roman"/>
          <w:sz w:val="20"/>
          <w:szCs w:val="20"/>
        </w:rPr>
        <w:t>.</w:t>
      </w:r>
    </w:p>
    <w:p w14:paraId="7C162DCD" w14:textId="10297423" w:rsidR="008D2767" w:rsidRPr="008D2767" w:rsidRDefault="008D2767" w:rsidP="00507CF3">
      <w:pPr>
        <w:rPr>
          <w:rFonts w:ascii="Franklin Gothic Book" w:hAnsi="Franklin Gothic Book" w:cs="Times New Roman"/>
          <w:b/>
        </w:rPr>
      </w:pPr>
      <w:r w:rsidRPr="008D2767">
        <w:rPr>
          <w:rFonts w:ascii="Franklin Gothic Book" w:hAnsi="Franklin Gothic Book" w:cs="Times New Roman"/>
          <w:b/>
        </w:rPr>
        <w:t>MALNUTRITION AND HUNGER IN SOUTH ASIA</w:t>
      </w:r>
    </w:p>
    <w:p w14:paraId="7161CB38" w14:textId="3A716AC6" w:rsidR="008D2767" w:rsidRDefault="00507CF3" w:rsidP="00507CF3">
      <w:pPr>
        <w:rPr>
          <w:rFonts w:ascii="Franklin Gothic Book" w:hAnsi="Franklin Gothic Book" w:cs="Times New Roman"/>
          <w:sz w:val="20"/>
          <w:szCs w:val="20"/>
        </w:rPr>
      </w:pPr>
      <w:r w:rsidRPr="00340CC9">
        <w:rPr>
          <w:rFonts w:ascii="Franklin Gothic Book" w:hAnsi="Franklin Gothic Book" w:cs="Times New Roman"/>
          <w:sz w:val="20"/>
          <w:szCs w:val="20"/>
        </w:rPr>
        <w:t xml:space="preserve">The Indian population in the colonial period and early decades of independence faced a lack of cereal availability. The consumption of staple food became an issue due to the large tracts of productive agricultural lands in Pakistan after the partition of 1947. The Government of India (GoI), losing its legitimacy to rule a decolonised state, opened several public sector projects. Policymakers, politicians, and scientists understood that Indians needed higher agricultural production in the modern agricultural research system. The priorities of high-yielding varieties (HYVs) and the capital-intensive green revolution became an essential outlook on rural development. The scenario was a lack of land reforms and the displacement of poor farmers from the benefits of the Green Revolution. Violence and disturbances erupted over the proportion of consumption and class division between small-, medium-, and large-scale farmers. Furthermore, in the 1960s and the 1970s, a different understanding </w:t>
      </w:r>
      <w:r w:rsidRPr="00340CC9">
        <w:rPr>
          <w:rFonts w:ascii="Franklin Gothic Book" w:hAnsi="Franklin Gothic Book" w:cs="Times New Roman"/>
          <w:sz w:val="20"/>
          <w:szCs w:val="20"/>
        </w:rPr>
        <w:lastRenderedPageBreak/>
        <w:t>of malnutrition developed against such occurrences back in colonial times. Experts redefined malnutrition as a broader problem than just insufficient intake of dietary energy and protein – so-called undernourishment – but that it also encompasses two other dimensions, namely micronutrient deficiencies and overweight and obesity</w:t>
      </w:r>
      <w:r w:rsidR="000D1EB7">
        <w:rPr>
          <w:rFonts w:ascii="Franklin Gothic Book" w:hAnsi="Franklin Gothic Book" w:cs="Times New Roman"/>
          <w:sz w:val="20"/>
          <w:szCs w:val="20"/>
        </w:rPr>
        <w:t xml:space="preserve"> (</w:t>
      </w:r>
      <w:r w:rsidR="00995AAB" w:rsidRPr="00995AAB">
        <w:rPr>
          <w:rFonts w:ascii="Franklin Gothic Book" w:hAnsi="Franklin Gothic Book" w:cs="Times New Roman"/>
          <w:sz w:val="20"/>
          <w:szCs w:val="20"/>
        </w:rPr>
        <w:t>Gómez</w:t>
      </w:r>
      <w:r w:rsidR="00995AAB">
        <w:rPr>
          <w:rFonts w:ascii="Franklin Gothic Book" w:hAnsi="Franklin Gothic Book" w:cs="Times New Roman"/>
          <w:sz w:val="20"/>
          <w:szCs w:val="20"/>
        </w:rPr>
        <w:t xml:space="preserve"> 2013</w:t>
      </w:r>
      <w:r w:rsidR="000D1EB7">
        <w:rPr>
          <w:rFonts w:ascii="Franklin Gothic Book" w:hAnsi="Franklin Gothic Book" w:cs="Times New Roman"/>
          <w:sz w:val="20"/>
          <w:szCs w:val="20"/>
        </w:rPr>
        <w:t>)</w:t>
      </w:r>
      <w:r w:rsidRPr="00340CC9">
        <w:rPr>
          <w:rFonts w:ascii="Franklin Gothic Book" w:hAnsi="Franklin Gothic Book" w:cs="Times New Roman"/>
          <w:sz w:val="20"/>
          <w:szCs w:val="20"/>
        </w:rPr>
        <w:t>. The quality and quantity of diverse food cultures has been replaced by monoculture cropping. The emphasis on protein overshadowed the place of micronutrients in the diets. In the 1970s, the Government of India (GoI) and the international crisis of fossil fuels created global conditions for the biofortification of crops. Agricultural research institutions are exploring ways to revive the nutritional capabilities of crops through indigenous food systems.</w:t>
      </w:r>
    </w:p>
    <w:p w14:paraId="4CFEDCAD" w14:textId="49E99FC9" w:rsidR="008D2767" w:rsidRPr="00A804D1" w:rsidRDefault="00A804D1" w:rsidP="00507CF3">
      <w:pPr>
        <w:rPr>
          <w:rFonts w:ascii="Franklin Gothic Book" w:hAnsi="Franklin Gothic Book" w:cs="Times New Roman"/>
          <w:b/>
          <w:szCs w:val="20"/>
        </w:rPr>
      </w:pPr>
      <w:r w:rsidRPr="00A804D1">
        <w:rPr>
          <w:rFonts w:ascii="Franklin Gothic Book" w:hAnsi="Franklin Gothic Book" w:cs="Times New Roman"/>
          <w:b/>
          <w:szCs w:val="20"/>
        </w:rPr>
        <w:t>MICRONUTRIENT DEFICIENCY AND INSTITUTIONAL CHANGES</w:t>
      </w:r>
    </w:p>
    <w:p w14:paraId="4DC2F8AF" w14:textId="1C616234" w:rsidR="00A804D1" w:rsidRDefault="00507CF3" w:rsidP="00507CF3">
      <w:pPr>
        <w:rPr>
          <w:rFonts w:ascii="Franklin Gothic Book" w:hAnsi="Franklin Gothic Book" w:cs="Times New Roman"/>
          <w:sz w:val="20"/>
          <w:szCs w:val="20"/>
        </w:rPr>
      </w:pPr>
      <w:r w:rsidRPr="00340CC9">
        <w:rPr>
          <w:rFonts w:ascii="Franklin Gothic Book" w:hAnsi="Franklin Gothic Book" w:cs="Times New Roman"/>
          <w:sz w:val="20"/>
          <w:szCs w:val="20"/>
        </w:rPr>
        <w:t xml:space="preserve">The measure of malnutrition ascribed to </w:t>
      </w:r>
      <w:bookmarkStart w:id="0" w:name="_Hlk162708760"/>
      <w:r w:rsidRPr="00340CC9">
        <w:rPr>
          <w:rFonts w:ascii="Franklin Gothic Book" w:hAnsi="Franklin Gothic Book" w:cs="Times New Roman"/>
          <w:sz w:val="20"/>
          <w:szCs w:val="20"/>
        </w:rPr>
        <w:t xml:space="preserve">micronutrient deficiency </w:t>
      </w:r>
      <w:bookmarkEnd w:id="0"/>
      <w:r w:rsidRPr="00340CC9">
        <w:rPr>
          <w:rFonts w:ascii="Franklin Gothic Book" w:hAnsi="Franklin Gothic Book" w:cs="Times New Roman"/>
          <w:sz w:val="20"/>
          <w:szCs w:val="20"/>
        </w:rPr>
        <w:t>is selective to a few vitamins and minerals; in fact, arbitrary regional selections add to complexity. Health agencies designate and define stunting in children as a marker of malnutrition. Development strategies have shifted their focus only to agricultural productivity to check for malnutrition after the green revolution. The allotment of land to micronutrient-rich crops, such as millets and pulses, is an essential step towards nutrition security. Rajeswari S. Raina argues that responses to multiple interdependent crises in agriculture, nutrition, and the environment promote institutional changes and policy orientation in Indian agriculture, shifting on local knowledge, encouraging the diversity of production and consumption of millets, and creating rural jobs</w:t>
      </w:r>
      <w:r w:rsidR="001F6A54">
        <w:rPr>
          <w:rFonts w:ascii="Franklin Gothic Book" w:hAnsi="Franklin Gothic Book" w:cs="Times New Roman"/>
          <w:sz w:val="20"/>
          <w:szCs w:val="20"/>
        </w:rPr>
        <w:t xml:space="preserve"> (Raina 2022)</w:t>
      </w:r>
      <w:r w:rsidRPr="00340CC9">
        <w:rPr>
          <w:rFonts w:ascii="Franklin Gothic Book" w:hAnsi="Franklin Gothic Book" w:cs="Times New Roman"/>
          <w:sz w:val="20"/>
          <w:szCs w:val="20"/>
        </w:rPr>
        <w:t xml:space="preserve">. The food system is dominated by large-scale food processing companies and, in turn, fast-food chains are transnational supply giants that interfere with the culture of indigenous nutrient-centric food consumption, if available. The answer to this nutrition problem lies in the inclusion of farmers as contributors to indigenous knowledge in the agricultural innovation system. In addition, the agricultural production model of the West needs to be applied in such a way that the Indian socioeconomic and cultural requirements of nutrition are fulfilled.     </w:t>
      </w:r>
    </w:p>
    <w:p w14:paraId="0130B8A8" w14:textId="5D31A93A" w:rsidR="00A804D1" w:rsidRPr="00A804D1" w:rsidRDefault="00A804D1" w:rsidP="00507CF3">
      <w:pPr>
        <w:rPr>
          <w:rFonts w:ascii="Franklin Gothic Book" w:hAnsi="Franklin Gothic Book" w:cs="Times New Roman"/>
          <w:b/>
        </w:rPr>
      </w:pPr>
      <w:r w:rsidRPr="00A804D1">
        <w:rPr>
          <w:rFonts w:ascii="Franklin Gothic Book" w:hAnsi="Franklin Gothic Book" w:cs="Times New Roman"/>
          <w:b/>
        </w:rPr>
        <w:t>GREEN REVOLUTION AND MALNUTRITION</w:t>
      </w:r>
    </w:p>
    <w:p w14:paraId="4CC54237" w14:textId="036DAAAE" w:rsidR="00507CF3" w:rsidRDefault="00507CF3" w:rsidP="00507CF3">
      <w:pPr>
        <w:rPr>
          <w:rFonts w:ascii="Franklin Gothic Book" w:hAnsi="Franklin Gothic Book" w:cs="Times New Roman"/>
          <w:sz w:val="20"/>
          <w:szCs w:val="20"/>
        </w:rPr>
      </w:pPr>
      <w:r w:rsidRPr="00340CC9">
        <w:rPr>
          <w:rFonts w:ascii="Franklin Gothic Book" w:hAnsi="Franklin Gothic Book" w:cs="Times New Roman"/>
          <w:sz w:val="20"/>
          <w:szCs w:val="20"/>
        </w:rPr>
        <w:t>The Green Revolution achieved temporary nutritional requirements for decolonised India. The international agricultural institutions, the GoI, and the UN World Food Programme (UNWFP) are taking measures to battle against local and global malnutrition and hunger towards the achievement of Sustainable Development Goals (SDG) by 2030. The prevention of malnutrition by health experts is limited to the administration of medicines and lifestyle. Insecticides and pesticides present in higher amounts in food materials seriously affect the health conditions of human individuals, as observed through changes in the ultrastructure of the target tissues, such as liver or gonadal tissues</w:t>
      </w:r>
      <w:r w:rsidR="00D522B4">
        <w:rPr>
          <w:rFonts w:ascii="Franklin Gothic Book" w:hAnsi="Franklin Gothic Book" w:cs="Times New Roman"/>
          <w:sz w:val="20"/>
          <w:szCs w:val="20"/>
        </w:rPr>
        <w:t xml:space="preserve"> (Chatterjee 1976)</w:t>
      </w:r>
      <w:r w:rsidRPr="00340CC9">
        <w:rPr>
          <w:rFonts w:ascii="Franklin Gothic Book" w:hAnsi="Franklin Gothic Book" w:cs="Times New Roman"/>
          <w:sz w:val="20"/>
          <w:szCs w:val="20"/>
        </w:rPr>
        <w:t>. The investigation of medical science has highlighted that insecticides and pesticides transform genetic systems, change the functioning of enzymes, and even alter the function of neural systems. When numerous developed nations have largely discarded the use of chemical-intensive agriculture, why is India lagging behind in the initiatives? Political and ideological superstructures, economic structures, poverty, and maternal health are major factors that define malnutrition and its associated remedies. During the last two decades, India has experienced sustained economic growth (over 5% growth in GDP) and reduced its poverty level by half (from 50% in 1993–94 to 22% by 2011–12), but a reduction in stunting, underweight, and wasting has not been observed on the same scale</w:t>
      </w:r>
      <w:r w:rsidR="00FB3F19">
        <w:rPr>
          <w:rFonts w:ascii="Franklin Gothic Book" w:hAnsi="Franklin Gothic Book" w:cs="Times New Roman"/>
          <w:sz w:val="20"/>
          <w:szCs w:val="20"/>
        </w:rPr>
        <w:t xml:space="preserve"> (</w:t>
      </w:r>
      <w:r w:rsidR="00FB3F19" w:rsidRPr="00FB3F19">
        <w:rPr>
          <w:rFonts w:ascii="Franklin Gothic Book" w:hAnsi="Franklin Gothic Book" w:cs="Times New Roman"/>
          <w:sz w:val="20"/>
          <w:szCs w:val="20"/>
        </w:rPr>
        <w:t>Khan and Mohanty</w:t>
      </w:r>
      <w:r w:rsidR="00FB3F19">
        <w:rPr>
          <w:rFonts w:ascii="Franklin Gothic Book" w:hAnsi="Franklin Gothic Book" w:cs="Times New Roman"/>
          <w:sz w:val="20"/>
          <w:szCs w:val="20"/>
        </w:rPr>
        <w:t xml:space="preserve"> 2018)</w:t>
      </w:r>
      <w:r w:rsidRPr="00340CC9">
        <w:rPr>
          <w:rFonts w:ascii="Franklin Gothic Book" w:hAnsi="Franklin Gothic Book" w:cs="Times New Roman"/>
          <w:sz w:val="20"/>
          <w:szCs w:val="20"/>
        </w:rPr>
        <w:t xml:space="preserve">. </w:t>
      </w:r>
      <w:r w:rsidRPr="00340CC9">
        <w:rPr>
          <w:rFonts w:ascii="Franklin Gothic Book" w:hAnsi="Franklin Gothic Book" w:cs="Times New Roman"/>
          <w:sz w:val="20"/>
          <w:szCs w:val="20"/>
        </w:rPr>
        <w:lastRenderedPageBreak/>
        <w:t xml:space="preserve">Malnutrition after the green revolution, which was in British India, ascribed to the lack of food production initiatives of farmers, broached a new formulation of malnutrition problems in the 1970s.    </w:t>
      </w:r>
    </w:p>
    <w:p w14:paraId="445538D0" w14:textId="5BBA13FC" w:rsidR="003036F8" w:rsidRPr="00DC2697" w:rsidRDefault="00DC2697" w:rsidP="00507CF3">
      <w:pPr>
        <w:rPr>
          <w:rFonts w:ascii="Franklin Gothic Book" w:hAnsi="Franklin Gothic Book" w:cs="Times New Roman"/>
          <w:b/>
        </w:rPr>
      </w:pPr>
      <w:r w:rsidRPr="00DC2697">
        <w:rPr>
          <w:rFonts w:ascii="Franklin Gothic Book" w:hAnsi="Franklin Gothic Book" w:cs="Times New Roman"/>
          <w:b/>
        </w:rPr>
        <w:t>POVERTY-UNDERNOURISHMENT RELATIONSHIP</w:t>
      </w:r>
    </w:p>
    <w:p w14:paraId="7408E0F6" w14:textId="56F7DF9E" w:rsidR="005D14DD" w:rsidRPr="00340CC9" w:rsidRDefault="00507CF3" w:rsidP="00507CF3">
      <w:pPr>
        <w:rPr>
          <w:rFonts w:ascii="Franklin Gothic Book" w:hAnsi="Franklin Gothic Book" w:cs="Times New Roman"/>
          <w:sz w:val="20"/>
          <w:szCs w:val="20"/>
        </w:rPr>
      </w:pPr>
      <w:r w:rsidRPr="00340CC9">
        <w:rPr>
          <w:rFonts w:ascii="Franklin Gothic Book" w:hAnsi="Franklin Gothic Book" w:cs="Times New Roman"/>
          <w:sz w:val="20"/>
          <w:szCs w:val="20"/>
        </w:rPr>
        <w:t>The consideration of poverty-undernourishment relationship studies is inextricably tied to population health statistics. The analysis that suggests this issue compares an unbalanced ratio of household nutrition availability with a large mouth to feed. As a result, framing the problem of nutrition in the inadequacies comes up with the viewpoint of holding poverty as the primary cause of nutritional deprivation and food insecurity, which in turn makes poverty responsible for ‘visible’ undernutrition</w:t>
      </w:r>
      <w:r w:rsidR="009F0C90">
        <w:rPr>
          <w:rFonts w:ascii="Franklin Gothic Book" w:hAnsi="Franklin Gothic Book" w:cs="Times New Roman"/>
          <w:sz w:val="20"/>
          <w:szCs w:val="20"/>
        </w:rPr>
        <w:t xml:space="preserve"> (</w:t>
      </w:r>
      <w:r w:rsidR="009F0C90" w:rsidRPr="009F0C90">
        <w:rPr>
          <w:rFonts w:ascii="Franklin Gothic Book" w:hAnsi="Franklin Gothic Book" w:cs="Times New Roman"/>
          <w:sz w:val="20"/>
          <w:szCs w:val="20"/>
        </w:rPr>
        <w:t>Mazumdar</w:t>
      </w:r>
      <w:r w:rsidR="009F0C90">
        <w:rPr>
          <w:rFonts w:ascii="Franklin Gothic Book" w:hAnsi="Franklin Gothic Book" w:cs="Times New Roman"/>
          <w:sz w:val="20"/>
          <w:szCs w:val="20"/>
        </w:rPr>
        <w:t xml:space="preserve"> 2010)</w:t>
      </w:r>
      <w:r w:rsidRPr="00340CC9">
        <w:rPr>
          <w:rFonts w:ascii="Franklin Gothic Book" w:hAnsi="Franklin Gothic Book" w:cs="Times New Roman"/>
          <w:sz w:val="20"/>
          <w:szCs w:val="20"/>
        </w:rPr>
        <w:t>. A loop of discourse claims that the economic and technological development of a country fails to address malnutrition in women and children. Malnourished children require more intense care from their parents and are less physically and intellectually productive than adults</w:t>
      </w:r>
      <w:r w:rsidR="00BF7282">
        <w:rPr>
          <w:rFonts w:ascii="Franklin Gothic Book" w:hAnsi="Franklin Gothic Book" w:cs="Times New Roman"/>
          <w:sz w:val="20"/>
          <w:szCs w:val="20"/>
        </w:rPr>
        <w:t xml:space="preserve"> (</w:t>
      </w:r>
      <w:r w:rsidR="00BF7282" w:rsidRPr="00BF7282">
        <w:rPr>
          <w:rFonts w:ascii="Franklin Gothic Book" w:hAnsi="Franklin Gothic Book" w:cs="Times New Roman"/>
          <w:sz w:val="20"/>
          <w:szCs w:val="20"/>
        </w:rPr>
        <w:t>Narayan</w:t>
      </w:r>
      <w:r w:rsidR="00BF7282">
        <w:rPr>
          <w:rFonts w:ascii="Franklin Gothic Book" w:hAnsi="Franklin Gothic Book" w:cs="Times New Roman"/>
          <w:sz w:val="20"/>
          <w:szCs w:val="20"/>
        </w:rPr>
        <w:t xml:space="preserve"> et al. 2018)</w:t>
      </w:r>
      <w:r w:rsidRPr="00340CC9">
        <w:rPr>
          <w:rFonts w:ascii="Franklin Gothic Book" w:hAnsi="Franklin Gothic Book" w:cs="Times New Roman"/>
          <w:sz w:val="20"/>
          <w:szCs w:val="20"/>
        </w:rPr>
        <w:t>.  The factors discussed responsible for malnutrition are concentrated on individual social groups and their upliftment measures. Malnutrition before and after the Green Revolution undertook more deficiency syndrome. New interventions for this problem have cultural patterns of excessive consumption of nutrients besides classical inadequate intake, leading to overweight and underweight, especially in urban India</w:t>
      </w:r>
      <w:r w:rsidR="00FC5A61">
        <w:rPr>
          <w:rFonts w:ascii="Franklin Gothic Book" w:hAnsi="Franklin Gothic Book" w:cs="Times New Roman"/>
          <w:sz w:val="20"/>
          <w:szCs w:val="20"/>
        </w:rPr>
        <w:t xml:space="preserve"> (</w:t>
      </w:r>
      <w:r w:rsidR="00FC5A61" w:rsidRPr="00FC5A61">
        <w:rPr>
          <w:rFonts w:ascii="Franklin Gothic Book" w:hAnsi="Franklin Gothic Book" w:cs="Times New Roman"/>
          <w:sz w:val="20"/>
          <w:szCs w:val="20"/>
        </w:rPr>
        <w:t>Sengupta and</w:t>
      </w:r>
      <w:r w:rsidR="00FC5A61">
        <w:rPr>
          <w:rFonts w:ascii="Franklin Gothic Book" w:hAnsi="Franklin Gothic Book" w:cs="Times New Roman"/>
          <w:sz w:val="20"/>
          <w:szCs w:val="20"/>
        </w:rPr>
        <w:t xml:space="preserve"> </w:t>
      </w:r>
      <w:r w:rsidR="00FC5A61" w:rsidRPr="00FC5A61">
        <w:rPr>
          <w:rFonts w:ascii="Franklin Gothic Book" w:hAnsi="Franklin Gothic Book" w:cs="Times New Roman"/>
          <w:sz w:val="20"/>
          <w:szCs w:val="20"/>
        </w:rPr>
        <w:t>Syamala</w:t>
      </w:r>
      <w:bookmarkStart w:id="1" w:name="_GoBack"/>
      <w:bookmarkEnd w:id="1"/>
      <w:r w:rsidR="00FC5A61">
        <w:rPr>
          <w:rFonts w:ascii="Franklin Gothic Book" w:hAnsi="Franklin Gothic Book" w:cs="Times New Roman"/>
          <w:sz w:val="20"/>
          <w:szCs w:val="20"/>
        </w:rPr>
        <w:t xml:space="preserve"> 2012)</w:t>
      </w:r>
      <w:r w:rsidRPr="00340CC9">
        <w:rPr>
          <w:rFonts w:ascii="Franklin Gothic Book" w:hAnsi="Franklin Gothic Book" w:cs="Times New Roman"/>
          <w:sz w:val="20"/>
          <w:szCs w:val="20"/>
        </w:rPr>
        <w:t>.</w:t>
      </w:r>
    </w:p>
    <w:p w14:paraId="1DEF54E6" w14:textId="0C6627E8" w:rsidR="005D14DD" w:rsidRPr="003036F8" w:rsidRDefault="003036F8" w:rsidP="005D14DD">
      <w:pPr>
        <w:rPr>
          <w:rFonts w:ascii="Franklin Gothic Book" w:hAnsi="Franklin Gothic Book" w:cs="Times New Roman"/>
          <w:b/>
        </w:rPr>
      </w:pPr>
      <w:r w:rsidRPr="003036F8">
        <w:rPr>
          <w:rFonts w:ascii="Franklin Gothic Book" w:hAnsi="Franklin Gothic Book" w:cs="Times New Roman"/>
          <w:b/>
        </w:rPr>
        <w:t>CONCLUSION</w:t>
      </w:r>
    </w:p>
    <w:p w14:paraId="0198B7A7" w14:textId="77777777" w:rsidR="005D14DD" w:rsidRPr="00340CC9" w:rsidRDefault="005D14DD" w:rsidP="005D14DD">
      <w:pPr>
        <w:rPr>
          <w:rFonts w:ascii="Franklin Gothic Book" w:hAnsi="Franklin Gothic Book" w:cs="Times New Roman"/>
          <w:sz w:val="20"/>
          <w:szCs w:val="20"/>
        </w:rPr>
      </w:pPr>
      <w:r w:rsidRPr="00340CC9">
        <w:rPr>
          <w:rFonts w:ascii="Franklin Gothic Book" w:hAnsi="Franklin Gothic Book" w:cs="Times New Roman"/>
          <w:sz w:val="20"/>
          <w:szCs w:val="20"/>
        </w:rPr>
        <w:t xml:space="preserve">The green revolution supplied India with surplus food production capabilities. The nutrition and its problem were not realised and understood during the technical change in agriculture. Malnutrition as post-green revolution phenomena was altogether different comparatively during British rule. The article appreciates the efforts of government and scientists in coming up with the solution to the menace of malnutrition. On the other hand, new issues tend to emerge from the institutional limitations of creating responsible citizens who are eager and aware to cooperate. However, the enquiry discussed and begs attention of the experts from diverse scientific fields had suggested the discard of obsolete technologies as agricultural inputs. Scientists had regularly communicated to the public and government agencies about the spreading tentacles of malnutrition since green revolution. And thus, explaining why in real terms the progress of country would be only economic, where without distribution of sustainable food resources malnutrition would persist. The tradition approach of dealing with nutritional problems in the everchanging intervention of global agribusiness corporations in the local food cultures bound to shift priorities of social welfare over economics. </w:t>
      </w:r>
    </w:p>
    <w:p w14:paraId="793BC88D" w14:textId="37533073" w:rsidR="00C81EDB" w:rsidRPr="00C81EDB" w:rsidRDefault="005D14DD" w:rsidP="00507CF3">
      <w:pPr>
        <w:rPr>
          <w:rFonts w:ascii="Franklin Gothic Book" w:hAnsi="Franklin Gothic Book" w:cs="Times New Roman"/>
          <w:b/>
        </w:rPr>
      </w:pPr>
      <w:r w:rsidRPr="00340CC9">
        <w:rPr>
          <w:rFonts w:ascii="Franklin Gothic Book" w:hAnsi="Franklin Gothic Book" w:cs="Times New Roman"/>
          <w:sz w:val="20"/>
          <w:szCs w:val="20"/>
        </w:rPr>
        <w:t xml:space="preserve"> </w:t>
      </w:r>
      <w:r w:rsidR="00562888">
        <w:rPr>
          <w:rFonts w:ascii="Franklin Gothic Book" w:hAnsi="Franklin Gothic Book" w:cs="Times New Roman"/>
          <w:b/>
        </w:rPr>
        <w:t>REFERE</w:t>
      </w:r>
      <w:r w:rsidR="00562888" w:rsidRPr="00562888">
        <w:rPr>
          <w:rFonts w:ascii="Franklin Gothic Book" w:hAnsi="Franklin Gothic Book" w:cs="Times New Roman"/>
          <w:b/>
        </w:rPr>
        <w:t>N</w:t>
      </w:r>
      <w:r w:rsidR="00562888">
        <w:rPr>
          <w:rFonts w:ascii="Franklin Gothic Book" w:hAnsi="Franklin Gothic Book" w:cs="Times New Roman"/>
          <w:b/>
        </w:rPr>
        <w:t>CES</w:t>
      </w:r>
    </w:p>
    <w:p w14:paraId="518ECB51" w14:textId="77777777" w:rsidR="00C81EDB" w:rsidRDefault="00C81EDB" w:rsidP="00C81EDB">
      <w:pPr>
        <w:spacing w:line="240" w:lineRule="auto"/>
        <w:ind w:left="720" w:hanging="720"/>
        <w:rPr>
          <w:rFonts w:ascii="Franklin Gothic Book" w:hAnsi="Franklin Gothic Book" w:cs="Times New Roman"/>
          <w:sz w:val="20"/>
          <w:szCs w:val="20"/>
        </w:rPr>
      </w:pPr>
      <w:r w:rsidRPr="002A1E3A">
        <w:rPr>
          <w:rFonts w:ascii="Franklin Gothic Book" w:hAnsi="Franklin Gothic Book" w:cs="Times New Roman"/>
          <w:sz w:val="20"/>
          <w:szCs w:val="20"/>
        </w:rPr>
        <w:t>Chakravorty</w:t>
      </w:r>
      <w:r>
        <w:rPr>
          <w:rFonts w:ascii="Franklin Gothic Book" w:hAnsi="Franklin Gothic Book" w:cs="Times New Roman"/>
          <w:sz w:val="20"/>
          <w:szCs w:val="20"/>
        </w:rPr>
        <w:t>,</w:t>
      </w:r>
      <w:r w:rsidRPr="00F77BCD">
        <w:rPr>
          <w:rFonts w:ascii="Franklin Gothic Book" w:hAnsi="Franklin Gothic Book" w:cs="Times New Roman"/>
          <w:sz w:val="20"/>
          <w:szCs w:val="20"/>
        </w:rPr>
        <w:t xml:space="preserve"> </w:t>
      </w:r>
      <w:r w:rsidRPr="002A1E3A">
        <w:rPr>
          <w:rFonts w:ascii="Franklin Gothic Book" w:hAnsi="Franklin Gothic Book" w:cs="Times New Roman"/>
          <w:sz w:val="20"/>
          <w:szCs w:val="20"/>
        </w:rPr>
        <w:t xml:space="preserve">Sukanya and Manisha, “Data Analysis of Malnutrition in India: A Review of Numerous Factors,” </w:t>
      </w:r>
      <w:r w:rsidRPr="002A1E3A">
        <w:rPr>
          <w:rFonts w:ascii="Franklin Gothic Book" w:hAnsi="Franklin Gothic Book" w:cs="Times New Roman"/>
          <w:i/>
          <w:sz w:val="20"/>
          <w:szCs w:val="20"/>
        </w:rPr>
        <w:t>International Journal of Community Medicine and Public Health</w:t>
      </w:r>
      <w:r w:rsidRPr="002A1E3A">
        <w:rPr>
          <w:rFonts w:ascii="Franklin Gothic Book" w:hAnsi="Franklin Gothic Book" w:cs="Times New Roman"/>
          <w:sz w:val="20"/>
          <w:szCs w:val="20"/>
        </w:rPr>
        <w:t xml:space="preserve"> 10, no. 7 (July 2023): 2634.</w:t>
      </w:r>
    </w:p>
    <w:p w14:paraId="1F8AEF89" w14:textId="77777777" w:rsidR="00C81EDB" w:rsidRDefault="00C81EDB" w:rsidP="00C81EDB">
      <w:pPr>
        <w:spacing w:line="240" w:lineRule="auto"/>
        <w:ind w:left="720" w:hanging="720"/>
        <w:rPr>
          <w:rFonts w:ascii="Franklin Gothic Book" w:hAnsi="Franklin Gothic Book" w:cs="Times New Roman"/>
          <w:sz w:val="20"/>
          <w:szCs w:val="20"/>
        </w:rPr>
      </w:pPr>
      <w:r w:rsidRPr="00F5204F">
        <w:rPr>
          <w:rFonts w:ascii="Franklin Gothic Book" w:hAnsi="Franklin Gothic Book" w:cs="Times New Roman"/>
          <w:sz w:val="20"/>
          <w:szCs w:val="20"/>
        </w:rPr>
        <w:t>Chatterjee,</w:t>
      </w:r>
      <w:r w:rsidRPr="00F77BCD">
        <w:rPr>
          <w:rFonts w:ascii="Franklin Gothic Book" w:hAnsi="Franklin Gothic Book" w:cs="Times New Roman"/>
          <w:sz w:val="20"/>
          <w:szCs w:val="20"/>
        </w:rPr>
        <w:t xml:space="preserve"> </w:t>
      </w:r>
      <w:r w:rsidRPr="00F5204F">
        <w:rPr>
          <w:rFonts w:ascii="Franklin Gothic Book" w:hAnsi="Franklin Gothic Book" w:cs="Times New Roman"/>
          <w:sz w:val="20"/>
          <w:szCs w:val="20"/>
        </w:rPr>
        <w:t xml:space="preserve">G. C.  “Nutritional Problems of India – A Developing Nation,” </w:t>
      </w:r>
      <w:r w:rsidRPr="00F5204F">
        <w:rPr>
          <w:rFonts w:ascii="Franklin Gothic Book" w:hAnsi="Franklin Gothic Book" w:cs="Times New Roman"/>
          <w:i/>
          <w:sz w:val="20"/>
          <w:szCs w:val="20"/>
        </w:rPr>
        <w:t>Science and Culture</w:t>
      </w:r>
      <w:r w:rsidRPr="00F5204F">
        <w:rPr>
          <w:rFonts w:ascii="Franklin Gothic Book" w:hAnsi="Franklin Gothic Book" w:cs="Times New Roman"/>
          <w:sz w:val="20"/>
          <w:szCs w:val="20"/>
        </w:rPr>
        <w:t xml:space="preserve"> 42, no.1 (January 1976): 6.</w:t>
      </w:r>
    </w:p>
    <w:p w14:paraId="3F3F7397" w14:textId="77777777" w:rsidR="00C81EDB" w:rsidRDefault="00C81EDB" w:rsidP="00C81EDB">
      <w:pPr>
        <w:spacing w:line="240" w:lineRule="auto"/>
        <w:ind w:left="720" w:hanging="720"/>
        <w:rPr>
          <w:rFonts w:ascii="Franklin Gothic Book" w:hAnsi="Franklin Gothic Book" w:cs="Times New Roman"/>
          <w:sz w:val="20"/>
          <w:szCs w:val="20"/>
        </w:rPr>
      </w:pPr>
      <w:r w:rsidRPr="00F5204F">
        <w:rPr>
          <w:rFonts w:ascii="Franklin Gothic Book" w:hAnsi="Franklin Gothic Book" w:cs="Times New Roman"/>
          <w:sz w:val="20"/>
          <w:szCs w:val="20"/>
        </w:rPr>
        <w:t>Gómez</w:t>
      </w:r>
      <w:r>
        <w:rPr>
          <w:rFonts w:ascii="Franklin Gothic Book" w:hAnsi="Franklin Gothic Book" w:cs="Times New Roman"/>
          <w:sz w:val="20"/>
          <w:szCs w:val="20"/>
        </w:rPr>
        <w:t xml:space="preserve">, </w:t>
      </w:r>
      <w:r w:rsidRPr="00F5204F">
        <w:rPr>
          <w:rFonts w:ascii="Franklin Gothic Book" w:hAnsi="Franklin Gothic Book" w:cs="Times New Roman"/>
          <w:sz w:val="20"/>
          <w:szCs w:val="20"/>
        </w:rPr>
        <w:t xml:space="preserve">Miguel I. et. al., “Post-Green Revolution Food Systems and the Triple Burden of Malnutrition,” </w:t>
      </w:r>
      <w:r w:rsidRPr="00F5204F">
        <w:rPr>
          <w:rFonts w:ascii="Franklin Gothic Book" w:hAnsi="Franklin Gothic Book" w:cs="Times New Roman"/>
          <w:i/>
          <w:sz w:val="20"/>
          <w:szCs w:val="20"/>
        </w:rPr>
        <w:t>Food Policy</w:t>
      </w:r>
      <w:r w:rsidRPr="00F5204F">
        <w:rPr>
          <w:rFonts w:ascii="Franklin Gothic Book" w:hAnsi="Franklin Gothic Book" w:cs="Times New Roman"/>
          <w:sz w:val="20"/>
          <w:szCs w:val="20"/>
        </w:rPr>
        <w:t xml:space="preserve"> 42 (2013): 129.</w:t>
      </w:r>
    </w:p>
    <w:p w14:paraId="75F653C2" w14:textId="7F236DB2" w:rsidR="00C81EDB" w:rsidRDefault="00C81EDB" w:rsidP="00C81EDB">
      <w:pPr>
        <w:spacing w:line="240" w:lineRule="auto"/>
        <w:ind w:left="720" w:hanging="720"/>
        <w:rPr>
          <w:rFonts w:ascii="Franklin Gothic Book" w:hAnsi="Franklin Gothic Book" w:cs="Times New Roman"/>
          <w:sz w:val="20"/>
          <w:szCs w:val="20"/>
        </w:rPr>
      </w:pPr>
      <w:r w:rsidRPr="002A1E3A">
        <w:rPr>
          <w:rFonts w:ascii="Franklin Gothic Book" w:hAnsi="Franklin Gothic Book" w:cs="Times New Roman"/>
          <w:sz w:val="20"/>
          <w:szCs w:val="20"/>
        </w:rPr>
        <w:t>Kaur,</w:t>
      </w:r>
      <w:r w:rsidRPr="00F77BCD">
        <w:rPr>
          <w:rFonts w:ascii="Franklin Gothic Book" w:hAnsi="Franklin Gothic Book" w:cs="Times New Roman"/>
          <w:sz w:val="20"/>
          <w:szCs w:val="20"/>
        </w:rPr>
        <w:t xml:space="preserve"> </w:t>
      </w:r>
      <w:r w:rsidRPr="002A1E3A">
        <w:rPr>
          <w:rFonts w:ascii="Franklin Gothic Book" w:hAnsi="Franklin Gothic Book" w:cs="Times New Roman"/>
          <w:sz w:val="20"/>
          <w:szCs w:val="20"/>
        </w:rPr>
        <w:t xml:space="preserve">Banjot “India Ranks 111 in Global Hunger Index; Report Makers Reject Indian Government Objections,” The Wire, accessed October 13, 2023, </w:t>
      </w:r>
      <w:hyperlink r:id="rId4" w:anchor=":~:text=India%20stands%20in%20a%20group,the%20performance%20of%20the%20country" w:history="1">
        <w:r w:rsidRPr="00165D5D">
          <w:rPr>
            <w:rStyle w:val="Hyperlink"/>
            <w:rFonts w:ascii="Franklin Gothic Book" w:hAnsi="Franklin Gothic Book" w:cs="Times New Roman"/>
            <w:sz w:val="20"/>
            <w:szCs w:val="20"/>
          </w:rPr>
          <w:t>https://thewire.in/health/india-ranks-111th-among-125-countries-in-global-hunger-index-report#:~:text=India%20stands%20in%20a%20group,the%20performance%20of%20the%20country</w:t>
        </w:r>
      </w:hyperlink>
      <w:r w:rsidRPr="002A1E3A">
        <w:rPr>
          <w:rFonts w:ascii="Franklin Gothic Book" w:hAnsi="Franklin Gothic Book" w:cs="Times New Roman"/>
          <w:sz w:val="20"/>
          <w:szCs w:val="20"/>
        </w:rPr>
        <w:t>.</w:t>
      </w:r>
    </w:p>
    <w:p w14:paraId="63A57634" w14:textId="77777777" w:rsidR="00C81EDB" w:rsidRDefault="00C81EDB" w:rsidP="00C81EDB">
      <w:pPr>
        <w:spacing w:line="240" w:lineRule="auto"/>
        <w:ind w:left="720" w:hanging="720"/>
        <w:rPr>
          <w:rFonts w:ascii="Franklin Gothic Book" w:hAnsi="Franklin Gothic Book" w:cs="Times New Roman"/>
          <w:sz w:val="20"/>
          <w:szCs w:val="20"/>
        </w:rPr>
      </w:pPr>
      <w:r w:rsidRPr="002A1E3A">
        <w:rPr>
          <w:rFonts w:ascii="Franklin Gothic Book" w:hAnsi="Franklin Gothic Book" w:cs="Times New Roman"/>
          <w:sz w:val="20"/>
          <w:szCs w:val="20"/>
        </w:rPr>
        <w:t>Khan</w:t>
      </w:r>
      <w:r>
        <w:rPr>
          <w:rFonts w:ascii="Franklin Gothic Book" w:hAnsi="Franklin Gothic Book" w:cs="Times New Roman"/>
          <w:sz w:val="20"/>
          <w:szCs w:val="20"/>
        </w:rPr>
        <w:t xml:space="preserve">, </w:t>
      </w:r>
      <w:r w:rsidRPr="002A1E3A">
        <w:rPr>
          <w:rFonts w:ascii="Franklin Gothic Book" w:hAnsi="Franklin Gothic Book" w:cs="Times New Roman"/>
          <w:sz w:val="20"/>
          <w:szCs w:val="20"/>
        </w:rPr>
        <w:t xml:space="preserve">Junaid and Sanjay K. Mohanty, “Spatial Heterogeneity and Correlates of Child Malnutrition in Districts of India,” </w:t>
      </w:r>
      <w:r w:rsidRPr="002A1E3A">
        <w:rPr>
          <w:rFonts w:ascii="Franklin Gothic Book" w:hAnsi="Franklin Gothic Book" w:cs="Times New Roman"/>
          <w:i/>
          <w:sz w:val="20"/>
          <w:szCs w:val="20"/>
        </w:rPr>
        <w:t>BMC Public Health</w:t>
      </w:r>
      <w:r w:rsidRPr="002A1E3A">
        <w:rPr>
          <w:rFonts w:ascii="Franklin Gothic Book" w:hAnsi="Franklin Gothic Book" w:cs="Times New Roman"/>
          <w:sz w:val="20"/>
          <w:szCs w:val="20"/>
        </w:rPr>
        <w:t xml:space="preserve"> 18, no. 1027 (2018): 2</w:t>
      </w:r>
    </w:p>
    <w:p w14:paraId="1C669474" w14:textId="77777777" w:rsidR="00C81EDB" w:rsidRDefault="00C81EDB" w:rsidP="00C81EDB">
      <w:pPr>
        <w:spacing w:line="240" w:lineRule="auto"/>
        <w:ind w:left="720" w:hanging="720"/>
        <w:rPr>
          <w:rFonts w:ascii="Franklin Gothic Book" w:hAnsi="Franklin Gothic Book" w:cs="Times New Roman"/>
          <w:sz w:val="20"/>
          <w:szCs w:val="20"/>
        </w:rPr>
      </w:pPr>
      <w:r w:rsidRPr="002A1E3A">
        <w:rPr>
          <w:rFonts w:ascii="Franklin Gothic Book" w:hAnsi="Franklin Gothic Book" w:cs="Times New Roman"/>
          <w:sz w:val="20"/>
          <w:szCs w:val="20"/>
        </w:rPr>
        <w:lastRenderedPageBreak/>
        <w:t>Mazumdar,</w:t>
      </w:r>
      <w:r w:rsidRPr="009912B3">
        <w:rPr>
          <w:rFonts w:ascii="Franklin Gothic Book" w:hAnsi="Franklin Gothic Book" w:cs="Times New Roman"/>
          <w:sz w:val="20"/>
          <w:szCs w:val="20"/>
        </w:rPr>
        <w:t xml:space="preserve"> </w:t>
      </w:r>
      <w:r w:rsidRPr="002A1E3A">
        <w:rPr>
          <w:rFonts w:ascii="Franklin Gothic Book" w:hAnsi="Franklin Gothic Book" w:cs="Times New Roman"/>
          <w:sz w:val="20"/>
          <w:szCs w:val="20"/>
        </w:rPr>
        <w:t xml:space="preserve">Sumit “Determinants of Inequality in Child Malnutrition in India,” </w:t>
      </w:r>
      <w:r w:rsidRPr="002A1E3A">
        <w:rPr>
          <w:rFonts w:ascii="Franklin Gothic Book" w:hAnsi="Franklin Gothic Book" w:cs="Times New Roman"/>
          <w:i/>
          <w:sz w:val="20"/>
          <w:szCs w:val="20"/>
        </w:rPr>
        <w:t>Asian Population Studies</w:t>
      </w:r>
      <w:r w:rsidRPr="002A1E3A">
        <w:rPr>
          <w:rFonts w:ascii="Franklin Gothic Book" w:hAnsi="Franklin Gothic Book" w:cs="Times New Roman"/>
          <w:sz w:val="20"/>
          <w:szCs w:val="20"/>
        </w:rPr>
        <w:t xml:space="preserve"> 6, no. 3 (2010): 309.</w:t>
      </w:r>
    </w:p>
    <w:p w14:paraId="1E97FF8A" w14:textId="77777777" w:rsidR="00C81EDB" w:rsidRDefault="00C81EDB" w:rsidP="00C81EDB">
      <w:pPr>
        <w:spacing w:line="240" w:lineRule="auto"/>
        <w:ind w:left="720" w:hanging="720"/>
        <w:rPr>
          <w:rFonts w:ascii="Franklin Gothic Book" w:hAnsi="Franklin Gothic Book" w:cs="Times New Roman"/>
          <w:sz w:val="20"/>
          <w:szCs w:val="20"/>
        </w:rPr>
      </w:pPr>
      <w:r w:rsidRPr="002A1E3A">
        <w:rPr>
          <w:rFonts w:ascii="Franklin Gothic Book" w:hAnsi="Franklin Gothic Book" w:cs="Times New Roman"/>
          <w:sz w:val="20"/>
          <w:szCs w:val="20"/>
        </w:rPr>
        <w:t>Narayan,</w:t>
      </w:r>
      <w:r>
        <w:rPr>
          <w:rFonts w:ascii="Franklin Gothic Book" w:hAnsi="Franklin Gothic Book" w:cs="Times New Roman"/>
          <w:sz w:val="20"/>
          <w:szCs w:val="20"/>
        </w:rPr>
        <w:t xml:space="preserve"> </w:t>
      </w:r>
      <w:r w:rsidRPr="002A1E3A">
        <w:rPr>
          <w:rFonts w:ascii="Franklin Gothic Book" w:hAnsi="Franklin Gothic Book" w:cs="Times New Roman"/>
          <w:sz w:val="20"/>
          <w:szCs w:val="20"/>
        </w:rPr>
        <w:t>Jitendra</w:t>
      </w:r>
      <w:r>
        <w:rPr>
          <w:rFonts w:ascii="Franklin Gothic Book" w:hAnsi="Franklin Gothic Book" w:cs="Times New Roman"/>
          <w:sz w:val="20"/>
          <w:szCs w:val="20"/>
        </w:rPr>
        <w:t>,</w:t>
      </w:r>
      <w:r w:rsidRPr="002A1E3A">
        <w:rPr>
          <w:rFonts w:ascii="Franklin Gothic Book" w:hAnsi="Franklin Gothic Book" w:cs="Times New Roman"/>
          <w:sz w:val="20"/>
          <w:szCs w:val="20"/>
        </w:rPr>
        <w:t xml:space="preserve"> Denny John, and Nirupama Ramadas, “Malnutrition in India: Status and Government Initiatives,” </w:t>
      </w:r>
      <w:r w:rsidRPr="002A1E3A">
        <w:rPr>
          <w:rFonts w:ascii="Franklin Gothic Book" w:hAnsi="Franklin Gothic Book" w:cs="Times New Roman"/>
          <w:i/>
          <w:sz w:val="20"/>
          <w:szCs w:val="20"/>
        </w:rPr>
        <w:t>Journal of Public Health Policy</w:t>
      </w:r>
      <w:r w:rsidRPr="002A1E3A">
        <w:rPr>
          <w:rFonts w:ascii="Franklin Gothic Book" w:hAnsi="Franklin Gothic Book" w:cs="Times New Roman"/>
          <w:sz w:val="20"/>
          <w:szCs w:val="20"/>
        </w:rPr>
        <w:t xml:space="preserve"> 40, no. 1 (23 October 2018): 127.</w:t>
      </w:r>
    </w:p>
    <w:p w14:paraId="33EC904B" w14:textId="77777777" w:rsidR="00C81EDB" w:rsidRDefault="00C81EDB" w:rsidP="00C81EDB">
      <w:pPr>
        <w:spacing w:line="240" w:lineRule="auto"/>
        <w:ind w:left="720" w:hanging="720"/>
        <w:rPr>
          <w:rFonts w:ascii="Franklin Gothic Book" w:hAnsi="Franklin Gothic Book" w:cs="Times New Roman"/>
          <w:sz w:val="20"/>
          <w:szCs w:val="20"/>
        </w:rPr>
      </w:pPr>
      <w:r w:rsidRPr="002A1E3A">
        <w:rPr>
          <w:rFonts w:ascii="Franklin Gothic Book" w:hAnsi="Franklin Gothic Book" w:cs="Times New Roman"/>
          <w:sz w:val="20"/>
          <w:szCs w:val="20"/>
        </w:rPr>
        <w:t>Raina</w:t>
      </w:r>
      <w:r>
        <w:rPr>
          <w:rFonts w:ascii="Franklin Gothic Book" w:hAnsi="Franklin Gothic Book" w:cs="Times New Roman"/>
          <w:sz w:val="20"/>
          <w:szCs w:val="20"/>
        </w:rPr>
        <w:t xml:space="preserve">, </w:t>
      </w:r>
      <w:r w:rsidRPr="002A1E3A">
        <w:rPr>
          <w:rFonts w:ascii="Franklin Gothic Book" w:hAnsi="Franklin Gothic Book" w:cs="Times New Roman"/>
          <w:sz w:val="20"/>
          <w:szCs w:val="20"/>
        </w:rPr>
        <w:t xml:space="preserve">Rajeswari et al., “Reorienting India’s Agricultural Policy: Millets and Institutional Change for Sustainability,” </w:t>
      </w:r>
      <w:r w:rsidRPr="002A1E3A">
        <w:rPr>
          <w:rFonts w:ascii="Franklin Gothic Book" w:hAnsi="Franklin Gothic Book" w:cs="Times New Roman"/>
          <w:i/>
          <w:sz w:val="20"/>
          <w:szCs w:val="20"/>
        </w:rPr>
        <w:t>J Eco Soc.</w:t>
      </w:r>
      <w:r w:rsidRPr="002A1E3A">
        <w:rPr>
          <w:rFonts w:ascii="Franklin Gothic Book" w:hAnsi="Franklin Gothic Book" w:cs="Times New Roman"/>
          <w:sz w:val="20"/>
          <w:szCs w:val="20"/>
        </w:rPr>
        <w:t xml:space="preserve"> 34, no. 1 (2022): 9.</w:t>
      </w:r>
    </w:p>
    <w:p w14:paraId="496C62B6" w14:textId="77777777" w:rsidR="00C81EDB" w:rsidRDefault="00C81EDB" w:rsidP="00C81EDB">
      <w:pPr>
        <w:spacing w:line="240" w:lineRule="auto"/>
        <w:ind w:left="720" w:hanging="720"/>
        <w:rPr>
          <w:rFonts w:ascii="Franklin Gothic Book" w:hAnsi="Franklin Gothic Book" w:cs="Times New Roman"/>
          <w:sz w:val="20"/>
          <w:szCs w:val="20"/>
        </w:rPr>
      </w:pPr>
      <w:r w:rsidRPr="00F5204F">
        <w:rPr>
          <w:rFonts w:ascii="Franklin Gothic Book" w:hAnsi="Franklin Gothic Book" w:cs="Times New Roman"/>
          <w:sz w:val="20"/>
          <w:szCs w:val="20"/>
        </w:rPr>
        <w:t>Sengupta</w:t>
      </w:r>
      <w:r>
        <w:rPr>
          <w:rFonts w:ascii="Franklin Gothic Book" w:hAnsi="Franklin Gothic Book" w:cs="Times New Roman"/>
          <w:sz w:val="20"/>
          <w:szCs w:val="20"/>
        </w:rPr>
        <w:t xml:space="preserve">, </w:t>
      </w:r>
      <w:r w:rsidRPr="00F5204F">
        <w:rPr>
          <w:rFonts w:ascii="Franklin Gothic Book" w:hAnsi="Franklin Gothic Book" w:cs="Times New Roman"/>
          <w:sz w:val="20"/>
          <w:szCs w:val="20"/>
        </w:rPr>
        <w:t xml:space="preserve">Angan and T.S. Syamala, “The Changing Face of Malnutrition in India,” </w:t>
      </w:r>
      <w:r w:rsidRPr="00F5204F">
        <w:rPr>
          <w:rFonts w:ascii="Franklin Gothic Book" w:hAnsi="Franklin Gothic Book" w:cs="Times New Roman"/>
          <w:i/>
          <w:sz w:val="20"/>
          <w:szCs w:val="20"/>
        </w:rPr>
        <w:t xml:space="preserve">Journal of Health Management </w:t>
      </w:r>
      <w:r w:rsidRPr="00F5204F">
        <w:rPr>
          <w:rFonts w:ascii="Franklin Gothic Book" w:hAnsi="Franklin Gothic Book" w:cs="Times New Roman"/>
          <w:sz w:val="20"/>
          <w:szCs w:val="20"/>
        </w:rPr>
        <w:t>14, no. 4 (2012): 451.</w:t>
      </w:r>
    </w:p>
    <w:p w14:paraId="34C65261" w14:textId="61530825" w:rsidR="00C81EDB" w:rsidRPr="00F5204F" w:rsidRDefault="00C81EDB" w:rsidP="00C81EDB">
      <w:pPr>
        <w:spacing w:line="240" w:lineRule="auto"/>
        <w:ind w:left="720" w:hanging="720"/>
        <w:rPr>
          <w:rFonts w:ascii="Franklin Gothic Book" w:hAnsi="Franklin Gothic Book" w:cs="Times New Roman"/>
          <w:sz w:val="20"/>
          <w:szCs w:val="20"/>
        </w:rPr>
      </w:pPr>
      <w:r w:rsidRPr="00F5204F">
        <w:rPr>
          <w:rFonts w:ascii="Franklin Gothic Book" w:hAnsi="Franklin Gothic Book" w:cs="Times New Roman"/>
          <w:sz w:val="20"/>
          <w:szCs w:val="20"/>
        </w:rPr>
        <w:t>Suri,</w:t>
      </w:r>
      <w:r w:rsidRPr="00F77BCD">
        <w:rPr>
          <w:rFonts w:ascii="Franklin Gothic Book" w:hAnsi="Franklin Gothic Book" w:cs="Times New Roman"/>
        </w:rPr>
        <w:t xml:space="preserve"> </w:t>
      </w:r>
      <w:r w:rsidRPr="00F5204F">
        <w:rPr>
          <w:rFonts w:ascii="Franklin Gothic Book" w:hAnsi="Franklin Gothic Book" w:cs="Times New Roman"/>
          <w:sz w:val="20"/>
          <w:szCs w:val="20"/>
        </w:rPr>
        <w:t xml:space="preserve">Shoba “Global Nutrition Report 2021 </w:t>
      </w:r>
      <w:r w:rsidRPr="00F5204F">
        <w:rPr>
          <w:rFonts w:ascii="Arial" w:hAnsi="Arial" w:cs="Arial"/>
          <w:sz w:val="20"/>
          <w:szCs w:val="20"/>
        </w:rPr>
        <w:t>‒</w:t>
      </w:r>
      <w:r w:rsidRPr="00F5204F">
        <w:rPr>
          <w:rFonts w:ascii="Franklin Gothic Book" w:hAnsi="Franklin Gothic Book" w:cs="Times New Roman"/>
          <w:sz w:val="20"/>
          <w:szCs w:val="20"/>
        </w:rPr>
        <w:t xml:space="preserve"> India</w:t>
      </w:r>
      <w:r w:rsidRPr="00F5204F">
        <w:rPr>
          <w:rFonts w:ascii="Franklin Gothic Book" w:hAnsi="Franklin Gothic Book" w:cs="Franklin Gothic Book"/>
          <w:sz w:val="20"/>
          <w:szCs w:val="20"/>
        </w:rPr>
        <w:t>’</w:t>
      </w:r>
      <w:r w:rsidRPr="00F5204F">
        <w:rPr>
          <w:rFonts w:ascii="Franklin Gothic Book" w:hAnsi="Franklin Gothic Book" w:cs="Times New Roman"/>
          <w:sz w:val="20"/>
          <w:szCs w:val="20"/>
        </w:rPr>
        <w:t>s Nutrition Profile and How to Meet Global Nutrition Target,” Observer Research Foundation, accessed December 2, 2021, https://www.orfonline.org/expert-speak/global-nutrition-report-2021#:~:text=According%20to%20the%20National%20Family,wasted%20and%2035.5%25%20are%20stunted.</w:t>
      </w:r>
    </w:p>
    <w:p w14:paraId="638FE170" w14:textId="77777777" w:rsidR="00507CF3" w:rsidRPr="00F5204F" w:rsidRDefault="00507CF3" w:rsidP="00507CF3">
      <w:pPr>
        <w:rPr>
          <w:rFonts w:ascii="Franklin Gothic Book" w:hAnsi="Franklin Gothic Book" w:cs="Times New Roman"/>
          <w:sz w:val="20"/>
          <w:szCs w:val="20"/>
        </w:rPr>
      </w:pPr>
    </w:p>
    <w:p w14:paraId="21C86D17" w14:textId="77777777" w:rsidR="00507CF3" w:rsidRPr="00F5204F" w:rsidRDefault="00507CF3" w:rsidP="00507CF3">
      <w:pPr>
        <w:rPr>
          <w:rFonts w:ascii="Franklin Gothic Book" w:hAnsi="Franklin Gothic Book" w:cs="Times New Roman"/>
          <w:sz w:val="20"/>
          <w:szCs w:val="20"/>
        </w:rPr>
      </w:pPr>
    </w:p>
    <w:p w14:paraId="210DD84F" w14:textId="77777777" w:rsidR="00507CF3" w:rsidRPr="00F5204F" w:rsidRDefault="00507CF3" w:rsidP="00507CF3">
      <w:pPr>
        <w:rPr>
          <w:rFonts w:ascii="Franklin Gothic Book" w:hAnsi="Franklin Gothic Book" w:cs="Times New Roman"/>
          <w:sz w:val="20"/>
          <w:szCs w:val="20"/>
        </w:rPr>
      </w:pPr>
    </w:p>
    <w:p w14:paraId="2B301715" w14:textId="77777777" w:rsidR="00507CF3" w:rsidRPr="00F5204F" w:rsidRDefault="00507CF3" w:rsidP="00507CF3">
      <w:pPr>
        <w:rPr>
          <w:rFonts w:ascii="Franklin Gothic Book" w:hAnsi="Franklin Gothic Book" w:cs="Times New Roman"/>
          <w:sz w:val="20"/>
          <w:szCs w:val="20"/>
        </w:rPr>
      </w:pPr>
    </w:p>
    <w:p w14:paraId="6EF245EF" w14:textId="77777777" w:rsidR="00507CF3" w:rsidRPr="00F5204F" w:rsidRDefault="00507CF3" w:rsidP="00507CF3">
      <w:pPr>
        <w:rPr>
          <w:rFonts w:ascii="Franklin Gothic Book" w:hAnsi="Franklin Gothic Book" w:cs="Times New Roman"/>
          <w:sz w:val="20"/>
          <w:szCs w:val="20"/>
        </w:rPr>
      </w:pPr>
    </w:p>
    <w:p w14:paraId="11E6AEC0" w14:textId="77777777" w:rsidR="00FF6544" w:rsidRPr="00F5204F" w:rsidRDefault="00FF6544">
      <w:pPr>
        <w:rPr>
          <w:rFonts w:ascii="Franklin Gothic Book" w:hAnsi="Franklin Gothic Book" w:cs="Times New Roman"/>
          <w:sz w:val="20"/>
          <w:szCs w:val="20"/>
        </w:rPr>
      </w:pPr>
    </w:p>
    <w:sectPr w:rsidR="00FF6544" w:rsidRPr="00F5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59"/>
    <w:rsid w:val="000D1EB7"/>
    <w:rsid w:val="001B56AE"/>
    <w:rsid w:val="001F6A54"/>
    <w:rsid w:val="002A1E3A"/>
    <w:rsid w:val="003036F8"/>
    <w:rsid w:val="00340CC9"/>
    <w:rsid w:val="00464F21"/>
    <w:rsid w:val="00507CF3"/>
    <w:rsid w:val="00562888"/>
    <w:rsid w:val="005D14DD"/>
    <w:rsid w:val="006E0CA6"/>
    <w:rsid w:val="008D2767"/>
    <w:rsid w:val="0097138B"/>
    <w:rsid w:val="009912B3"/>
    <w:rsid w:val="00995AAB"/>
    <w:rsid w:val="009F0C90"/>
    <w:rsid w:val="00A46F2C"/>
    <w:rsid w:val="00A804D1"/>
    <w:rsid w:val="00AA3FBB"/>
    <w:rsid w:val="00AC012A"/>
    <w:rsid w:val="00B17964"/>
    <w:rsid w:val="00B85A19"/>
    <w:rsid w:val="00BF7282"/>
    <w:rsid w:val="00C81EDB"/>
    <w:rsid w:val="00CA5159"/>
    <w:rsid w:val="00D0696F"/>
    <w:rsid w:val="00D522B4"/>
    <w:rsid w:val="00DC2697"/>
    <w:rsid w:val="00F5204F"/>
    <w:rsid w:val="00F77BCD"/>
    <w:rsid w:val="00F91DFE"/>
    <w:rsid w:val="00FB3F19"/>
    <w:rsid w:val="00FC5A61"/>
    <w:rsid w:val="00FF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ED19"/>
  <w15:chartTrackingRefBased/>
  <w15:docId w15:val="{035A7657-B9B8-406B-976A-7B8A1963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713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38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2A1E3A"/>
    <w:pPr>
      <w:spacing w:line="240" w:lineRule="auto"/>
    </w:pPr>
    <w:rPr>
      <w:sz w:val="20"/>
      <w:szCs w:val="20"/>
    </w:rPr>
  </w:style>
  <w:style w:type="character" w:customStyle="1" w:styleId="FootnoteTextChar">
    <w:name w:val="Footnote Text Char"/>
    <w:basedOn w:val="DefaultParagraphFont"/>
    <w:link w:val="FootnoteText"/>
    <w:uiPriority w:val="99"/>
    <w:semiHidden/>
    <w:rsid w:val="002A1E3A"/>
    <w:rPr>
      <w:sz w:val="20"/>
      <w:szCs w:val="20"/>
    </w:rPr>
  </w:style>
  <w:style w:type="character" w:styleId="FootnoteReference">
    <w:name w:val="footnote reference"/>
    <w:basedOn w:val="DefaultParagraphFont"/>
    <w:uiPriority w:val="99"/>
    <w:semiHidden/>
    <w:unhideWhenUsed/>
    <w:rsid w:val="002A1E3A"/>
    <w:rPr>
      <w:vertAlign w:val="superscript"/>
    </w:rPr>
  </w:style>
  <w:style w:type="character" w:styleId="Hyperlink">
    <w:name w:val="Hyperlink"/>
    <w:basedOn w:val="DefaultParagraphFont"/>
    <w:uiPriority w:val="99"/>
    <w:unhideWhenUsed/>
    <w:rsid w:val="00C81EDB"/>
    <w:rPr>
      <w:color w:val="0563C1" w:themeColor="hyperlink"/>
      <w:u w:val="single"/>
    </w:rPr>
  </w:style>
  <w:style w:type="character" w:styleId="UnresolvedMention">
    <w:name w:val="Unresolved Mention"/>
    <w:basedOn w:val="DefaultParagraphFont"/>
    <w:uiPriority w:val="99"/>
    <w:semiHidden/>
    <w:unhideWhenUsed/>
    <w:rsid w:val="00C8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wire.in/health/india-ranks-111th-among-125-countries-in-global-hunger-index-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Dr.Vinod Kumar Singh</dc:creator>
  <cp:keywords/>
  <dc:description/>
  <cp:lastModifiedBy>Dr.Vinod Kumar Singh</cp:lastModifiedBy>
  <cp:revision>112</cp:revision>
  <dcterms:created xsi:type="dcterms:W3CDTF">2024-03-30T10:39:00Z</dcterms:created>
  <dcterms:modified xsi:type="dcterms:W3CDTF">2024-04-02T17:28:00Z</dcterms:modified>
</cp:coreProperties>
</file>