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687" w:rsidRPr="00872783" w:rsidRDefault="00E742E3" w:rsidP="00261687">
      <w:pPr>
        <w:pStyle w:val="Heading1"/>
        <w:shd w:val="clear" w:color="auto" w:fill="FFFFFF"/>
        <w:spacing w:before="0" w:beforeAutospacing="0" w:after="172" w:afterAutospacing="0"/>
        <w:jc w:val="center"/>
        <w:rPr>
          <w:rFonts w:eastAsia="Calibri"/>
          <w:bCs w:val="0"/>
          <w:kern w:val="0"/>
          <w:sz w:val="24"/>
          <w:szCs w:val="24"/>
          <w:lang w:eastAsia="en-US"/>
        </w:rPr>
      </w:pPr>
      <w:r w:rsidRPr="00872783">
        <w:rPr>
          <w:rFonts w:eastAsia="Calibri"/>
          <w:bCs w:val="0"/>
          <w:kern w:val="0"/>
          <w:sz w:val="24"/>
          <w:szCs w:val="24"/>
          <w:lang w:eastAsia="en-US"/>
        </w:rPr>
        <w:t>EXAMINING THE UNREGULATED USE OF HORMONAL PREP</w:t>
      </w:r>
      <w:r w:rsidR="00261687" w:rsidRPr="00872783">
        <w:rPr>
          <w:rFonts w:eastAsia="Calibri"/>
          <w:bCs w:val="0"/>
          <w:kern w:val="0"/>
          <w:sz w:val="24"/>
          <w:szCs w:val="24"/>
          <w:lang w:eastAsia="en-US"/>
        </w:rPr>
        <w:t>ARATIONS IN ANIMAL REPRODUCTION</w:t>
      </w:r>
    </w:p>
    <w:p w:rsidR="001B5A21" w:rsidRPr="009633E5" w:rsidRDefault="001B5A21" w:rsidP="001B5A21">
      <w:pPr>
        <w:jc w:val="center"/>
        <w:rPr>
          <w:rFonts w:ascii="Times New Roman" w:hAnsi="Times New Roman" w:cs="Times New Roman"/>
          <w:b/>
          <w:sz w:val="24"/>
          <w:szCs w:val="24"/>
        </w:rPr>
      </w:pPr>
      <w:r w:rsidRPr="00872783">
        <w:rPr>
          <w:rFonts w:ascii="Times New Roman" w:hAnsi="Times New Roman" w:cs="Times New Roman"/>
          <w:b/>
          <w:sz w:val="24"/>
          <w:szCs w:val="24"/>
        </w:rPr>
        <w:t>Akhter Rasool</w:t>
      </w:r>
      <w:r w:rsidRPr="00872783">
        <w:rPr>
          <w:rFonts w:ascii="Times New Roman" w:hAnsi="Times New Roman" w:cs="Times New Roman"/>
          <w:b/>
          <w:sz w:val="24"/>
          <w:szCs w:val="24"/>
          <w:vertAlign w:val="superscript"/>
        </w:rPr>
        <w:t>1</w:t>
      </w:r>
      <w:r w:rsidRPr="00872783">
        <w:rPr>
          <w:rFonts w:ascii="Times New Roman" w:hAnsi="Times New Roman" w:cs="Times New Roman"/>
          <w:b/>
          <w:sz w:val="24"/>
          <w:szCs w:val="24"/>
        </w:rPr>
        <w:t>*, T.Sarath</w:t>
      </w:r>
      <w:r w:rsidRPr="00872783">
        <w:rPr>
          <w:rFonts w:ascii="Times New Roman" w:hAnsi="Times New Roman" w:cs="Times New Roman"/>
          <w:b/>
          <w:sz w:val="24"/>
          <w:szCs w:val="24"/>
          <w:vertAlign w:val="superscript"/>
        </w:rPr>
        <w:t>2</w:t>
      </w:r>
      <w:r w:rsidRPr="00872783">
        <w:rPr>
          <w:rFonts w:ascii="Times New Roman" w:hAnsi="Times New Roman" w:cs="Times New Roman"/>
          <w:b/>
          <w:sz w:val="24"/>
          <w:szCs w:val="24"/>
        </w:rPr>
        <w:t>, K.Porteen</w:t>
      </w:r>
      <w:r w:rsidRPr="00872783">
        <w:rPr>
          <w:rFonts w:ascii="Times New Roman" w:hAnsi="Times New Roman" w:cs="Times New Roman"/>
          <w:b/>
          <w:sz w:val="24"/>
          <w:szCs w:val="24"/>
          <w:vertAlign w:val="superscript"/>
        </w:rPr>
        <w:t>3</w:t>
      </w:r>
      <w:r w:rsidR="00EC0AE5">
        <w:rPr>
          <w:rFonts w:ascii="Times New Roman" w:hAnsi="Times New Roman" w:cs="Times New Roman"/>
          <w:b/>
          <w:sz w:val="24"/>
          <w:szCs w:val="24"/>
        </w:rPr>
        <w:t xml:space="preserve"> and</w:t>
      </w:r>
      <w:r w:rsidR="008A0C64" w:rsidRPr="008A0C64">
        <w:rPr>
          <w:rFonts w:ascii="Times New Roman" w:hAnsi="Times New Roman" w:cs="Times New Roman"/>
          <w:b/>
          <w:sz w:val="24"/>
          <w:szCs w:val="24"/>
        </w:rPr>
        <w:t xml:space="preserve"> Keerthana Joshy B</w:t>
      </w:r>
      <w:r w:rsidR="008A0C64" w:rsidRPr="008A0C64">
        <w:rPr>
          <w:rFonts w:ascii="Times New Roman" w:hAnsi="Times New Roman" w:cs="Times New Roman"/>
          <w:b/>
          <w:sz w:val="24"/>
          <w:szCs w:val="24"/>
          <w:vertAlign w:val="superscript"/>
        </w:rPr>
        <w:t>1</w:t>
      </w:r>
    </w:p>
    <w:p w:rsidR="001B5A21" w:rsidRPr="00872783" w:rsidRDefault="001B5A21" w:rsidP="001B5A21">
      <w:pPr>
        <w:pStyle w:val="Heading1"/>
        <w:shd w:val="clear" w:color="auto" w:fill="FFFFFF"/>
        <w:tabs>
          <w:tab w:val="left" w:pos="3070"/>
        </w:tabs>
        <w:spacing w:before="0" w:beforeAutospacing="0" w:after="0" w:afterAutospacing="0"/>
        <w:jc w:val="both"/>
        <w:rPr>
          <w:rFonts w:eastAsia="Calibri"/>
          <w:b w:val="0"/>
          <w:bCs w:val="0"/>
          <w:kern w:val="0"/>
          <w:sz w:val="24"/>
          <w:szCs w:val="24"/>
          <w:lang w:eastAsia="en-US"/>
        </w:rPr>
      </w:pPr>
      <w:r w:rsidRPr="00872783">
        <w:rPr>
          <w:rFonts w:eastAsia="Calibri"/>
          <w:b w:val="0"/>
          <w:bCs w:val="0"/>
          <w:kern w:val="0"/>
          <w:sz w:val="24"/>
          <w:szCs w:val="24"/>
          <w:vertAlign w:val="superscript"/>
          <w:lang w:eastAsia="en-US"/>
        </w:rPr>
        <w:t>1</w:t>
      </w:r>
      <w:r w:rsidRPr="00872783">
        <w:rPr>
          <w:rFonts w:eastAsia="Calibri"/>
          <w:b w:val="0"/>
          <w:bCs w:val="0"/>
          <w:kern w:val="0"/>
          <w:sz w:val="24"/>
          <w:szCs w:val="24"/>
          <w:lang w:eastAsia="en-US"/>
        </w:rPr>
        <w:t>MVSc Scholar, Department of Veterinary Gynaecology and Obstetrics, Tamil Nadu Veterinary and Animal Sciences University, Chennai, India</w:t>
      </w:r>
    </w:p>
    <w:p w:rsidR="001B5A21" w:rsidRPr="00872783" w:rsidRDefault="001B5A21" w:rsidP="001B5A21">
      <w:pPr>
        <w:pStyle w:val="Heading1"/>
        <w:shd w:val="clear" w:color="auto" w:fill="FFFFFF"/>
        <w:tabs>
          <w:tab w:val="left" w:pos="3070"/>
        </w:tabs>
        <w:spacing w:before="0" w:beforeAutospacing="0" w:after="0" w:afterAutospacing="0"/>
        <w:jc w:val="both"/>
        <w:rPr>
          <w:rFonts w:eastAsia="Calibri"/>
          <w:b w:val="0"/>
          <w:bCs w:val="0"/>
          <w:kern w:val="0"/>
          <w:sz w:val="24"/>
          <w:szCs w:val="24"/>
          <w:lang w:eastAsia="en-US"/>
        </w:rPr>
      </w:pPr>
    </w:p>
    <w:p w:rsidR="001B5A21" w:rsidRPr="00872783" w:rsidRDefault="001B5A21" w:rsidP="001B5A21">
      <w:pPr>
        <w:pStyle w:val="Heading1"/>
        <w:shd w:val="clear" w:color="auto" w:fill="FFFFFF"/>
        <w:tabs>
          <w:tab w:val="left" w:pos="3070"/>
        </w:tabs>
        <w:spacing w:before="0" w:beforeAutospacing="0" w:after="0" w:afterAutospacing="0"/>
        <w:jc w:val="both"/>
        <w:rPr>
          <w:rFonts w:eastAsia="Calibri"/>
          <w:b w:val="0"/>
          <w:bCs w:val="0"/>
          <w:kern w:val="0"/>
          <w:sz w:val="24"/>
          <w:szCs w:val="24"/>
          <w:lang w:eastAsia="en-US"/>
        </w:rPr>
      </w:pPr>
      <w:r w:rsidRPr="00872783">
        <w:rPr>
          <w:rFonts w:eastAsia="Calibri"/>
          <w:b w:val="0"/>
          <w:bCs w:val="0"/>
          <w:kern w:val="0"/>
          <w:sz w:val="24"/>
          <w:szCs w:val="24"/>
          <w:vertAlign w:val="superscript"/>
          <w:lang w:eastAsia="en-US"/>
        </w:rPr>
        <w:t>2</w:t>
      </w:r>
      <w:r w:rsidRPr="00872783">
        <w:rPr>
          <w:rFonts w:eastAsia="Calibri"/>
          <w:b w:val="0"/>
          <w:bCs w:val="0"/>
          <w:kern w:val="0"/>
          <w:sz w:val="24"/>
          <w:szCs w:val="24"/>
          <w:lang w:eastAsia="en-US"/>
        </w:rPr>
        <w:t>Associate Professor, Department of Veterinary Gynaecology and Obstetrics, Tamil Nadu Veterinary and Animal Sciences University, Chennai, India</w:t>
      </w:r>
    </w:p>
    <w:p w:rsidR="001B5A21" w:rsidRPr="00872783" w:rsidRDefault="001B5A21" w:rsidP="001B5A21">
      <w:pPr>
        <w:pStyle w:val="Heading1"/>
        <w:shd w:val="clear" w:color="auto" w:fill="FFFFFF"/>
        <w:tabs>
          <w:tab w:val="left" w:pos="3070"/>
        </w:tabs>
        <w:spacing w:before="0" w:beforeAutospacing="0" w:after="0" w:afterAutospacing="0"/>
        <w:jc w:val="both"/>
        <w:rPr>
          <w:rFonts w:eastAsia="Calibri"/>
          <w:b w:val="0"/>
          <w:bCs w:val="0"/>
          <w:kern w:val="0"/>
          <w:sz w:val="24"/>
          <w:szCs w:val="24"/>
          <w:lang w:eastAsia="en-US"/>
        </w:rPr>
      </w:pPr>
    </w:p>
    <w:p w:rsidR="001B5A21" w:rsidRPr="00872783" w:rsidRDefault="001B5A21" w:rsidP="001B5A21">
      <w:pPr>
        <w:autoSpaceDE w:val="0"/>
        <w:autoSpaceDN w:val="0"/>
        <w:adjustRightInd w:val="0"/>
        <w:spacing w:after="0"/>
        <w:rPr>
          <w:rFonts w:ascii="Times New Roman" w:eastAsia="Calibri" w:hAnsi="Times New Roman" w:cs="Times New Roman"/>
          <w:sz w:val="24"/>
          <w:szCs w:val="24"/>
          <w:lang w:val="en-IN"/>
        </w:rPr>
      </w:pPr>
      <w:r w:rsidRPr="00872783">
        <w:rPr>
          <w:rFonts w:ascii="Times New Roman" w:eastAsia="Calibri" w:hAnsi="Times New Roman" w:cs="Times New Roman"/>
          <w:iCs/>
          <w:color w:val="000000"/>
          <w:sz w:val="24"/>
          <w:szCs w:val="24"/>
          <w:vertAlign w:val="superscript"/>
        </w:rPr>
        <w:t>3</w:t>
      </w:r>
      <w:r w:rsidRPr="00872783">
        <w:rPr>
          <w:rFonts w:ascii="Times New Roman" w:eastAsia="Calibri" w:hAnsi="Times New Roman" w:cs="Times New Roman"/>
          <w:sz w:val="24"/>
          <w:szCs w:val="24"/>
          <w:lang w:val="en-IN"/>
        </w:rPr>
        <w:t>Assistant Professor, Department of Veterinary Public Health and Epidemiology, Tamil Nadu Veterinary and Animal Sciences University, Chennai</w:t>
      </w:r>
    </w:p>
    <w:p w:rsidR="00D62E98" w:rsidRPr="00872783" w:rsidRDefault="00D62E98" w:rsidP="00D94072">
      <w:pPr>
        <w:pStyle w:val="Heading1"/>
        <w:shd w:val="clear" w:color="auto" w:fill="FFFFFF"/>
        <w:tabs>
          <w:tab w:val="left" w:pos="3070"/>
        </w:tabs>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 xml:space="preserve">* </w:t>
      </w:r>
      <w:r w:rsidR="00D94072" w:rsidRPr="00872783">
        <w:rPr>
          <w:rFonts w:eastAsia="Calibri"/>
          <w:bCs w:val="0"/>
          <w:kern w:val="0"/>
          <w:sz w:val="24"/>
          <w:szCs w:val="24"/>
          <w:lang w:eastAsia="en-US"/>
        </w:rPr>
        <w:t>Corresponding Author:</w:t>
      </w:r>
      <w:r w:rsidR="00D94072" w:rsidRPr="00872783">
        <w:rPr>
          <w:rFonts w:eastAsia="Calibri"/>
          <w:b w:val="0"/>
          <w:bCs w:val="0"/>
          <w:kern w:val="0"/>
          <w:sz w:val="24"/>
          <w:szCs w:val="24"/>
          <w:lang w:eastAsia="en-US"/>
        </w:rPr>
        <w:t xml:space="preserve"> </w:t>
      </w:r>
      <w:r w:rsidR="00B25B9C" w:rsidRPr="00872783">
        <w:rPr>
          <w:rFonts w:eastAsia="Calibri"/>
          <w:b w:val="0"/>
          <w:bCs w:val="0"/>
          <w:kern w:val="0"/>
          <w:sz w:val="24"/>
          <w:szCs w:val="24"/>
          <w:lang w:eastAsia="en-US"/>
        </w:rPr>
        <w:t xml:space="preserve">mirakhter1312@gmail.com </w:t>
      </w:r>
    </w:p>
    <w:p w:rsidR="007E2171" w:rsidRPr="00872783" w:rsidRDefault="000A3302" w:rsidP="00261687">
      <w:pPr>
        <w:pStyle w:val="Heading1"/>
        <w:shd w:val="clear" w:color="auto" w:fill="FFFFFF"/>
        <w:spacing w:after="172"/>
        <w:rPr>
          <w:rFonts w:eastAsia="Calibri"/>
          <w:bCs w:val="0"/>
          <w:kern w:val="0"/>
          <w:sz w:val="24"/>
          <w:szCs w:val="24"/>
          <w:lang w:eastAsia="en-US"/>
        </w:rPr>
      </w:pPr>
      <w:r w:rsidRPr="00872783">
        <w:rPr>
          <w:rFonts w:eastAsia="Calibri"/>
          <w:bCs w:val="0"/>
          <w:kern w:val="0"/>
          <w:sz w:val="24"/>
          <w:szCs w:val="24"/>
          <w:lang w:eastAsia="en-US"/>
        </w:rPr>
        <w:t>ABSTRACT</w:t>
      </w:r>
    </w:p>
    <w:p w:rsidR="007E2171" w:rsidRPr="00872783" w:rsidRDefault="00E35E71" w:rsidP="009A57C5">
      <w:pPr>
        <w:pStyle w:val="Heading1"/>
        <w:shd w:val="clear" w:color="auto" w:fill="FFFFFF"/>
        <w:tabs>
          <w:tab w:val="left" w:pos="3070"/>
        </w:tabs>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 xml:space="preserve">Hormones play a pivotal role in addressing diverse reproductive disorders in domestic animals, with their prevalence surpassing that of antibiotics in daily veterinary practice. Hormonal preparations are frequently administered to restore animals' reproductive capabilities, contingent upon precise diagnostic procedures. It is imperative to eschew the indiscriminate utilization of hormones, which may serve as a facade for managerial issues or purportedly enhance production performance. To ensure optimal breeding outcomes, meticulous records of diagnoses and treatments must be maintained. </w:t>
      </w:r>
      <w:r w:rsidR="006612B6" w:rsidRPr="00872783">
        <w:rPr>
          <w:rFonts w:eastAsia="Calibri"/>
          <w:b w:val="0"/>
          <w:bCs w:val="0"/>
          <w:kern w:val="0"/>
          <w:sz w:val="24"/>
          <w:szCs w:val="24"/>
          <w:lang w:eastAsia="en-US"/>
        </w:rPr>
        <w:t>Inappropriate use of pharmaceutical preparations for manipulating breeding cycles, especially when not administered in accordance with veterinary guidelines, should be discouraged due to its potential to significantly reduce the overall fertility of breeding stock</w:t>
      </w:r>
      <w:r w:rsidRPr="00872783">
        <w:rPr>
          <w:rFonts w:eastAsia="Calibri"/>
          <w:b w:val="0"/>
          <w:bCs w:val="0"/>
          <w:kern w:val="0"/>
          <w:sz w:val="24"/>
          <w:szCs w:val="24"/>
          <w:lang w:eastAsia="en-US"/>
        </w:rPr>
        <w:t xml:space="preserve">. Rather than relying on hormones for the treatment of reproductive ailments, the adoption of sound management practices is advocated to enhance animal health and fertility. </w:t>
      </w:r>
      <w:r w:rsidR="00A52BC1" w:rsidRPr="00872783">
        <w:rPr>
          <w:rFonts w:eastAsia="Calibri"/>
          <w:b w:val="0"/>
          <w:bCs w:val="0"/>
          <w:kern w:val="0"/>
          <w:sz w:val="24"/>
          <w:szCs w:val="24"/>
          <w:lang w:eastAsia="en-US"/>
        </w:rPr>
        <w:t xml:space="preserve">Furthermore, consumer interest in animal health and welfare is on the rise, coinciding with ethical concerns regarding the utilization of </w:t>
      </w:r>
      <w:r w:rsidR="00587A0F" w:rsidRPr="00872783">
        <w:rPr>
          <w:rFonts w:eastAsia="Calibri"/>
          <w:b w:val="0"/>
          <w:bCs w:val="0"/>
          <w:kern w:val="0"/>
          <w:sz w:val="24"/>
          <w:szCs w:val="24"/>
          <w:lang w:eastAsia="en-US"/>
        </w:rPr>
        <w:t>hormones in animal reproduction</w:t>
      </w:r>
      <w:r w:rsidRPr="00872783">
        <w:rPr>
          <w:rFonts w:eastAsia="Calibri"/>
          <w:b w:val="0"/>
          <w:bCs w:val="0"/>
          <w:kern w:val="0"/>
          <w:sz w:val="24"/>
          <w:szCs w:val="24"/>
          <w:lang w:eastAsia="en-US"/>
        </w:rPr>
        <w:t xml:space="preserve">. </w:t>
      </w:r>
      <w:r w:rsidR="003B2F4E" w:rsidRPr="00872783">
        <w:rPr>
          <w:rFonts w:eastAsia="Calibri"/>
          <w:b w:val="0"/>
          <w:bCs w:val="0"/>
          <w:kern w:val="0"/>
          <w:sz w:val="24"/>
          <w:szCs w:val="24"/>
          <w:lang w:eastAsia="en-US"/>
        </w:rPr>
        <w:t>This review comprehensively addresses the indiscriminate use of hormonal preparations in animal reproduction.</w:t>
      </w:r>
    </w:p>
    <w:p w:rsidR="000C72E6" w:rsidRPr="00872783" w:rsidRDefault="000C72E6" w:rsidP="004A0CC5">
      <w:pPr>
        <w:pStyle w:val="Heading1"/>
        <w:shd w:val="clear" w:color="auto" w:fill="FFFFFF"/>
        <w:spacing w:after="172"/>
        <w:jc w:val="both"/>
        <w:rPr>
          <w:rFonts w:eastAsia="Calibri"/>
          <w:b w:val="0"/>
          <w:bCs w:val="0"/>
          <w:kern w:val="0"/>
          <w:sz w:val="24"/>
          <w:szCs w:val="24"/>
          <w:lang w:eastAsia="en-US"/>
        </w:rPr>
      </w:pPr>
      <w:r w:rsidRPr="006A4598">
        <w:rPr>
          <w:rFonts w:eastAsia="Calibri"/>
          <w:bCs w:val="0"/>
          <w:i/>
          <w:kern w:val="0"/>
          <w:sz w:val="24"/>
          <w:szCs w:val="24"/>
          <w:lang w:eastAsia="en-US"/>
        </w:rPr>
        <w:t>Key</w:t>
      </w:r>
      <w:r w:rsidR="006A4598" w:rsidRPr="006A4598">
        <w:rPr>
          <w:rFonts w:eastAsia="Calibri"/>
          <w:bCs w:val="0"/>
          <w:i/>
          <w:kern w:val="0"/>
          <w:sz w:val="24"/>
          <w:szCs w:val="24"/>
          <w:lang w:eastAsia="en-US"/>
        </w:rPr>
        <w:t xml:space="preserve"> </w:t>
      </w:r>
      <w:r w:rsidRPr="006A4598">
        <w:rPr>
          <w:rFonts w:eastAsia="Calibri"/>
          <w:bCs w:val="0"/>
          <w:i/>
          <w:kern w:val="0"/>
          <w:sz w:val="24"/>
          <w:szCs w:val="24"/>
          <w:lang w:eastAsia="en-US"/>
        </w:rPr>
        <w:t>words</w:t>
      </w:r>
      <w:r w:rsidRPr="00872783">
        <w:rPr>
          <w:rFonts w:eastAsia="Calibri"/>
          <w:bCs w:val="0"/>
          <w:kern w:val="0"/>
          <w:sz w:val="24"/>
          <w:szCs w:val="24"/>
          <w:lang w:eastAsia="en-US"/>
        </w:rPr>
        <w:t>:</w:t>
      </w:r>
      <w:r w:rsidRPr="00872783">
        <w:rPr>
          <w:rFonts w:eastAsia="Calibri"/>
          <w:b w:val="0"/>
          <w:bCs w:val="0"/>
          <w:kern w:val="0"/>
          <w:sz w:val="24"/>
          <w:szCs w:val="24"/>
          <w:lang w:eastAsia="en-US"/>
        </w:rPr>
        <w:t xml:space="preserve"> </w:t>
      </w:r>
      <w:r w:rsidR="00302127" w:rsidRPr="00872783">
        <w:rPr>
          <w:rFonts w:eastAsia="Calibri"/>
          <w:b w:val="0"/>
          <w:bCs w:val="0"/>
          <w:kern w:val="0"/>
          <w:sz w:val="24"/>
          <w:szCs w:val="24"/>
          <w:lang w:eastAsia="en-US"/>
        </w:rPr>
        <w:t>Animal reproduction, Endocrine d</w:t>
      </w:r>
      <w:r w:rsidRPr="00872783">
        <w:rPr>
          <w:rFonts w:eastAsia="Calibri"/>
          <w:b w:val="0"/>
          <w:bCs w:val="0"/>
          <w:kern w:val="0"/>
          <w:sz w:val="24"/>
          <w:szCs w:val="24"/>
          <w:lang w:eastAsia="en-US"/>
        </w:rPr>
        <w:t>isruptors, Hormon</w:t>
      </w:r>
      <w:r w:rsidR="00302127" w:rsidRPr="00872783">
        <w:rPr>
          <w:rFonts w:eastAsia="Calibri"/>
          <w:b w:val="0"/>
          <w:bCs w:val="0"/>
          <w:kern w:val="0"/>
          <w:sz w:val="24"/>
          <w:szCs w:val="24"/>
          <w:lang w:eastAsia="en-US"/>
        </w:rPr>
        <w:t>es, Infertility</w:t>
      </w:r>
    </w:p>
    <w:p w:rsidR="0049138E" w:rsidRPr="0049138E" w:rsidRDefault="0049138E" w:rsidP="00872783">
      <w:pPr>
        <w:pStyle w:val="Heading1"/>
        <w:shd w:val="clear" w:color="auto" w:fill="FFFFFF"/>
        <w:tabs>
          <w:tab w:val="left" w:pos="3070"/>
        </w:tabs>
        <w:spacing w:after="172"/>
        <w:jc w:val="both"/>
        <w:rPr>
          <w:rFonts w:eastAsia="Calibri"/>
          <w:bCs w:val="0"/>
          <w:kern w:val="0"/>
          <w:sz w:val="24"/>
          <w:szCs w:val="24"/>
          <w:lang w:eastAsia="en-US"/>
        </w:rPr>
      </w:pPr>
      <w:r w:rsidRPr="0049138E">
        <w:rPr>
          <w:rFonts w:eastAsia="Calibri"/>
          <w:bCs w:val="0"/>
          <w:kern w:val="0"/>
          <w:sz w:val="24"/>
          <w:szCs w:val="24"/>
          <w:lang w:eastAsia="en-US"/>
        </w:rPr>
        <w:t>INTRODUCTION</w:t>
      </w:r>
    </w:p>
    <w:p w:rsidR="00872783" w:rsidRPr="00872783" w:rsidRDefault="00872783" w:rsidP="009A57C5">
      <w:pPr>
        <w:pStyle w:val="Heading1"/>
        <w:shd w:val="clear" w:color="auto" w:fill="FFFFFF"/>
        <w:tabs>
          <w:tab w:val="left" w:pos="3070"/>
        </w:tabs>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Traditionally, the foremost objective of farmers in many countries has been to ensure that each cow gives birth to a calf approximately every 12 months. One beneficial approach is to voluntarily extend the interval between calving and the first service, subsequently elongating the calving interval (Holroyd and McGowan, 2014). This strategy can enhance the fertility of high-yield cows, affording them more time for post-calving recovery. As a result, the reliance on hormonal treatments to address anoestrus is reduced, along with the number of inseminations required per cow (Larsson and Berglund, 1999).</w:t>
      </w:r>
    </w:p>
    <w:p w:rsidR="00872783" w:rsidRPr="00872783" w:rsidRDefault="00872783" w:rsidP="00872783">
      <w:pPr>
        <w:pStyle w:val="Heading1"/>
        <w:shd w:val="clear" w:color="auto" w:fill="FFFFFF"/>
        <w:spacing w:after="172"/>
        <w:jc w:val="both"/>
        <w:rPr>
          <w:rFonts w:eastAsia="Calibri"/>
          <w:bCs w:val="0"/>
          <w:kern w:val="0"/>
          <w:sz w:val="24"/>
          <w:szCs w:val="24"/>
          <w:lang w:eastAsia="en-US"/>
        </w:rPr>
      </w:pPr>
      <w:r w:rsidRPr="00872783">
        <w:rPr>
          <w:rFonts w:eastAsia="Calibri"/>
          <w:bCs w:val="0"/>
          <w:kern w:val="0"/>
          <w:sz w:val="24"/>
          <w:szCs w:val="24"/>
          <w:lang w:eastAsia="en-US"/>
        </w:rPr>
        <w:t>Hormonal Preparations in Animal Reproduction</w:t>
      </w:r>
    </w:p>
    <w:p w:rsidR="00430AAE" w:rsidRPr="00872783" w:rsidRDefault="00430AAE" w:rsidP="009A57C5">
      <w:pPr>
        <w:pStyle w:val="Heading1"/>
        <w:shd w:val="clear" w:color="auto" w:fill="FFFFFF"/>
        <w:tabs>
          <w:tab w:val="left" w:pos="3070"/>
        </w:tabs>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lastRenderedPageBreak/>
        <w:t xml:space="preserve">Reproductive hormones, originating from both the anterior pituitary gland and the gonads, play a pivotal role in regulating reproductive function and are equally indispensable for diagnosing associated disorders. Estrogen, a primary female sex hormone primarily produced by the ovarian follicles and corpus luteum, as well as the placenta (Weil </w:t>
      </w:r>
      <w:r w:rsidR="00D340F0" w:rsidRPr="00D340F0">
        <w:rPr>
          <w:rFonts w:eastAsia="Calibri"/>
          <w:b w:val="0"/>
          <w:bCs w:val="0"/>
          <w:i/>
          <w:kern w:val="0"/>
          <w:sz w:val="24"/>
          <w:szCs w:val="24"/>
          <w:lang w:eastAsia="en-US"/>
        </w:rPr>
        <w:t>et</w:t>
      </w:r>
      <w:r w:rsidR="000E0934">
        <w:rPr>
          <w:rFonts w:eastAsia="Calibri"/>
          <w:b w:val="0"/>
          <w:bCs w:val="0"/>
          <w:kern w:val="0"/>
          <w:sz w:val="24"/>
          <w:szCs w:val="24"/>
          <w:lang w:eastAsia="en-US"/>
        </w:rPr>
        <w:t xml:space="preserve"> al.,</w:t>
      </w:r>
      <w:r w:rsidRPr="00872783">
        <w:rPr>
          <w:rFonts w:eastAsia="Calibri"/>
          <w:b w:val="0"/>
          <w:bCs w:val="0"/>
          <w:kern w:val="0"/>
          <w:sz w:val="24"/>
          <w:szCs w:val="24"/>
          <w:lang w:eastAsia="en-US"/>
        </w:rPr>
        <w:t xml:space="preserve"> 2015), plays a crucial role in the development of female sex organs, regulation of gonadotropin secretions, stimulation of uterine epithelial cells, growth of blood vessels, and development of endometrial glands (Gulati </w:t>
      </w:r>
      <w:r w:rsidR="00D340F0" w:rsidRPr="00D340F0">
        <w:rPr>
          <w:rFonts w:eastAsia="Calibri"/>
          <w:b w:val="0"/>
          <w:bCs w:val="0"/>
          <w:i/>
          <w:kern w:val="0"/>
          <w:sz w:val="24"/>
          <w:szCs w:val="24"/>
          <w:lang w:eastAsia="en-US"/>
        </w:rPr>
        <w:t>et</w:t>
      </w:r>
      <w:r w:rsidR="000E0934">
        <w:rPr>
          <w:rFonts w:eastAsia="Calibri"/>
          <w:b w:val="0"/>
          <w:bCs w:val="0"/>
          <w:i/>
          <w:kern w:val="0"/>
          <w:sz w:val="24"/>
          <w:szCs w:val="24"/>
          <w:lang w:eastAsia="en-US"/>
        </w:rPr>
        <w:t xml:space="preserve"> al</w:t>
      </w:r>
      <w:r w:rsidRPr="00872783">
        <w:rPr>
          <w:rFonts w:eastAsia="Calibri"/>
          <w:b w:val="0"/>
          <w:bCs w:val="0"/>
          <w:kern w:val="0"/>
          <w:sz w:val="24"/>
          <w:szCs w:val="24"/>
          <w:lang w:eastAsia="en-US"/>
        </w:rPr>
        <w:t xml:space="preserve">., 2013). Progesterone, released by the ovaries and the adrenal glands, serves as the precursor for estrogens and androgens, aiding in the regulation of the estrous cycle and the maintenance of pregnancy (Sangsritavong </w:t>
      </w:r>
      <w:r w:rsidR="00D340F0" w:rsidRPr="00D340F0">
        <w:rPr>
          <w:rFonts w:eastAsia="Calibri"/>
          <w:b w:val="0"/>
          <w:bCs w:val="0"/>
          <w:i/>
          <w:kern w:val="0"/>
          <w:sz w:val="24"/>
          <w:szCs w:val="24"/>
          <w:lang w:eastAsia="en-US"/>
        </w:rPr>
        <w:t>et</w:t>
      </w:r>
      <w:r w:rsidR="000E0934">
        <w:rPr>
          <w:rFonts w:eastAsia="Calibri"/>
          <w:b w:val="0"/>
          <w:bCs w:val="0"/>
          <w:i/>
          <w:kern w:val="0"/>
          <w:sz w:val="24"/>
          <w:szCs w:val="24"/>
          <w:lang w:eastAsia="en-US"/>
        </w:rPr>
        <w:t xml:space="preserve"> al</w:t>
      </w:r>
      <w:r w:rsidRPr="00872783">
        <w:rPr>
          <w:rFonts w:eastAsia="Calibri"/>
          <w:b w:val="0"/>
          <w:bCs w:val="0"/>
          <w:kern w:val="0"/>
          <w:sz w:val="24"/>
          <w:szCs w:val="24"/>
          <w:lang w:eastAsia="en-US"/>
        </w:rPr>
        <w:t>.</w:t>
      </w:r>
      <w:r w:rsidR="000E0934">
        <w:rPr>
          <w:rFonts w:eastAsia="Calibri"/>
          <w:b w:val="0"/>
          <w:bCs w:val="0"/>
          <w:kern w:val="0"/>
          <w:sz w:val="24"/>
          <w:szCs w:val="24"/>
          <w:lang w:eastAsia="en-US"/>
        </w:rPr>
        <w:t>,</w:t>
      </w:r>
      <w:r w:rsidRPr="00872783">
        <w:rPr>
          <w:rFonts w:eastAsia="Calibri"/>
          <w:b w:val="0"/>
          <w:bCs w:val="0"/>
          <w:kern w:val="0"/>
          <w:sz w:val="24"/>
          <w:szCs w:val="24"/>
          <w:lang w:eastAsia="en-US"/>
        </w:rPr>
        <w:t> </w:t>
      </w:r>
      <w:hyperlink r:id="rId5" w:history="1">
        <w:r w:rsidRPr="00872783">
          <w:rPr>
            <w:rFonts w:eastAsia="Calibri"/>
            <w:b w:val="0"/>
            <w:bCs w:val="0"/>
            <w:kern w:val="0"/>
            <w:sz w:val="24"/>
            <w:szCs w:val="24"/>
            <w:lang w:eastAsia="en-US"/>
          </w:rPr>
          <w:t>2002</w:t>
        </w:r>
      </w:hyperlink>
      <w:r w:rsidRPr="00872783">
        <w:rPr>
          <w:rFonts w:eastAsia="Calibri"/>
          <w:b w:val="0"/>
          <w:bCs w:val="0"/>
          <w:kern w:val="0"/>
          <w:sz w:val="24"/>
          <w:szCs w:val="24"/>
          <w:lang w:eastAsia="en-US"/>
        </w:rPr>
        <w:t xml:space="preserve">). Gonadotropin-Releasing Hormone (GnRH), secreted from the hypothalamus, stimulates the pituitary gland to secrete Follicle-Stimulating Hormone (FSH) and Luteinizing Hormone (LH). FSH plays a vital role in ovulation by stimulating follicular growth and estrogen secretion in synchrony with LH. LH, on the other hand, plays a crucial role in follicular maturation, rupture, and ovulation. Estimating LH and FSH levels is of prime importance in diagnosing disorders related to the normal reproductive cycle and fertility (Hafiz, 2013; Manocha </w:t>
      </w:r>
      <w:r w:rsidR="00D340F0" w:rsidRPr="00D340F0">
        <w:rPr>
          <w:rFonts w:eastAsia="Calibri"/>
          <w:b w:val="0"/>
          <w:bCs w:val="0"/>
          <w:i/>
          <w:kern w:val="0"/>
          <w:sz w:val="24"/>
          <w:szCs w:val="24"/>
          <w:lang w:eastAsia="en-US"/>
        </w:rPr>
        <w:t>et</w:t>
      </w:r>
      <w:r w:rsidR="000E0934">
        <w:rPr>
          <w:rFonts w:eastAsia="Calibri"/>
          <w:b w:val="0"/>
          <w:bCs w:val="0"/>
          <w:i/>
          <w:kern w:val="0"/>
          <w:sz w:val="24"/>
          <w:szCs w:val="24"/>
          <w:lang w:eastAsia="en-US"/>
        </w:rPr>
        <w:t xml:space="preserve"> al</w:t>
      </w:r>
      <w:r w:rsidRPr="00872783">
        <w:rPr>
          <w:rFonts w:eastAsia="Calibri"/>
          <w:b w:val="0"/>
          <w:bCs w:val="0"/>
          <w:kern w:val="0"/>
          <w:sz w:val="24"/>
          <w:szCs w:val="24"/>
          <w:lang w:eastAsia="en-US"/>
        </w:rPr>
        <w:t xml:space="preserve">., 2018). </w:t>
      </w:r>
    </w:p>
    <w:p w:rsidR="00872783" w:rsidRPr="00872783" w:rsidRDefault="00872783" w:rsidP="009A57C5">
      <w:pPr>
        <w:pStyle w:val="Heading1"/>
        <w:shd w:val="clear" w:color="auto" w:fill="FFFFFF"/>
        <w:tabs>
          <w:tab w:val="left" w:pos="3070"/>
        </w:tabs>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 xml:space="preserve">When diseases impact the reproductive performance of individual animals or groups, it is widely acknowledged that effective treatments, if available, should be employed. In pursuit of farmers' objectives, hormones serve as vital remedies for treating reproductive diseases. Hormones, in particular, are crucial tools for managing breeding. A prevailing trend in most countries is the expansion of herd sizes. In large herds, artificial insemination (AI) necessitates rigorous estrus detection, demanding substantial labor. To streamline this process, synchronization of estrus and ovulation is advocated, achieved through the use of various hormones such as progesterone, oestrogen, prostaglandins, gonadotrophin-releasing hormones (GnRH), and human chorionic gonadotrophin (HCG), either individually or in combination (Roche, 1979; Macmillan and Peterson, 1993). Exogenous luteinizing hormone (HCG) and gonadotrophin-releasing hormone (GnRH) are administered to induce ovulation in cases of delayed ovulation relative to estrus and insemination (Jaswal and Singh, 2013). GnRH has also been employed during the luteal phase of cows to stimulate the corpus luteum (Sheldon and Dobson, 1993). Additionally, progesterone administration has been utilized in repeat breeder cows to support progesterone levels during early pregnancy (Sreenan and Diskin, 1983). These treatments are employed to expedite the onset of puberty or reduce the interval between calving and conception. In cases of retained placenta, prostaglandins are sometimes used and have been demonstrated to reduce the incidence of the condition in cows induced to calve with corticosteroids (Gross </w:t>
      </w:r>
      <w:r w:rsidR="00D340F0" w:rsidRPr="00D340F0">
        <w:rPr>
          <w:rFonts w:eastAsia="Calibri"/>
          <w:b w:val="0"/>
          <w:bCs w:val="0"/>
          <w:i/>
          <w:kern w:val="0"/>
          <w:sz w:val="24"/>
          <w:szCs w:val="24"/>
          <w:lang w:eastAsia="en-US"/>
        </w:rPr>
        <w:t>et</w:t>
      </w:r>
      <w:r w:rsidR="00A64EC4">
        <w:rPr>
          <w:rFonts w:eastAsia="Calibri"/>
          <w:b w:val="0"/>
          <w:bCs w:val="0"/>
          <w:i/>
          <w:kern w:val="0"/>
          <w:sz w:val="24"/>
          <w:szCs w:val="24"/>
          <w:lang w:eastAsia="en-US"/>
        </w:rPr>
        <w:t xml:space="preserve"> al</w:t>
      </w:r>
      <w:r w:rsidRPr="00872783">
        <w:rPr>
          <w:rFonts w:eastAsia="Calibri"/>
          <w:b w:val="0"/>
          <w:bCs w:val="0"/>
          <w:kern w:val="0"/>
          <w:sz w:val="24"/>
          <w:szCs w:val="24"/>
          <w:lang w:eastAsia="en-US"/>
        </w:rPr>
        <w:t>., 1986). Uterine motility-boosting drugs like oxytocin are also employed. Prostaglandins are commonly administered in cases of pyometra and endometritis to induce regression of the corpus luteum, followed by follicle maturation and estrus, ultimately leading to uterine contractility (Douglas and Ginther, 1973). Corticosteroids, either alone or in conjunction with prostaglandins, are used for parturition induction (Adams and Wagner, 1970). Furthermore, the embryo transfer program relies on the extensive use of hormones to synchronize estrus and superovulation.</w:t>
      </w:r>
    </w:p>
    <w:p w:rsidR="00872783" w:rsidRPr="00872783" w:rsidRDefault="00872783" w:rsidP="00872783">
      <w:pPr>
        <w:pStyle w:val="Heading1"/>
        <w:shd w:val="clear" w:color="auto" w:fill="FFFFFF"/>
        <w:spacing w:after="172"/>
        <w:jc w:val="both"/>
        <w:rPr>
          <w:rFonts w:eastAsia="Calibri"/>
          <w:bCs w:val="0"/>
          <w:kern w:val="0"/>
          <w:sz w:val="24"/>
          <w:szCs w:val="24"/>
          <w:lang w:eastAsia="en-US"/>
        </w:rPr>
      </w:pPr>
      <w:r w:rsidRPr="00872783">
        <w:rPr>
          <w:rFonts w:eastAsia="Calibri"/>
          <w:bCs w:val="0"/>
          <w:kern w:val="0"/>
          <w:sz w:val="24"/>
          <w:szCs w:val="24"/>
          <w:lang w:eastAsia="en-US"/>
        </w:rPr>
        <w:t>Unregulated use of hormones and its consequences</w:t>
      </w:r>
    </w:p>
    <w:p w:rsidR="00872783" w:rsidRPr="00872783" w:rsidRDefault="00872783" w:rsidP="009A57C5">
      <w:pPr>
        <w:pStyle w:val="Heading1"/>
        <w:shd w:val="clear" w:color="auto" w:fill="FFFFFF"/>
        <w:tabs>
          <w:tab w:val="left" w:pos="3070"/>
        </w:tabs>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 xml:space="preserve">Exogenous substances or hormonal preparations that disrupt normal endocrine function are classified as endocrine disruptors (Zoeller </w:t>
      </w:r>
      <w:r w:rsidR="00D340F0" w:rsidRPr="00D340F0">
        <w:rPr>
          <w:rFonts w:eastAsia="Calibri"/>
          <w:b w:val="0"/>
          <w:bCs w:val="0"/>
          <w:i/>
          <w:kern w:val="0"/>
          <w:sz w:val="24"/>
          <w:szCs w:val="24"/>
          <w:lang w:eastAsia="en-US"/>
        </w:rPr>
        <w:t>et</w:t>
      </w:r>
      <w:r w:rsidR="00A64EC4">
        <w:rPr>
          <w:rFonts w:eastAsia="Calibri"/>
          <w:b w:val="0"/>
          <w:bCs w:val="0"/>
          <w:i/>
          <w:kern w:val="0"/>
          <w:sz w:val="24"/>
          <w:szCs w:val="24"/>
          <w:lang w:eastAsia="en-US"/>
        </w:rPr>
        <w:t xml:space="preserve"> al</w:t>
      </w:r>
      <w:r w:rsidRPr="00872783">
        <w:rPr>
          <w:rFonts w:eastAsia="Calibri"/>
          <w:b w:val="0"/>
          <w:bCs w:val="0"/>
          <w:kern w:val="0"/>
          <w:sz w:val="24"/>
          <w:szCs w:val="24"/>
          <w:lang w:eastAsia="en-US"/>
        </w:rPr>
        <w:t xml:space="preserve">., 2012). These substances are known to interfere with various hormonal and metabolic processes, affecting the activation, secretion, synthesis, </w:t>
      </w:r>
      <w:r w:rsidRPr="00872783">
        <w:rPr>
          <w:rFonts w:eastAsia="Calibri"/>
          <w:b w:val="0"/>
          <w:bCs w:val="0"/>
          <w:kern w:val="0"/>
          <w:sz w:val="24"/>
          <w:szCs w:val="24"/>
          <w:lang w:eastAsia="en-US"/>
        </w:rPr>
        <w:lastRenderedPageBreak/>
        <w:t xml:space="preserve">release, and binding of normal hormones (Arsenescu </w:t>
      </w:r>
      <w:r w:rsidR="00D340F0" w:rsidRPr="00D340F0">
        <w:rPr>
          <w:rFonts w:eastAsia="Calibri"/>
          <w:b w:val="0"/>
          <w:bCs w:val="0"/>
          <w:i/>
          <w:kern w:val="0"/>
          <w:sz w:val="24"/>
          <w:szCs w:val="24"/>
          <w:lang w:eastAsia="en-US"/>
        </w:rPr>
        <w:t>et</w:t>
      </w:r>
      <w:r w:rsidR="00A64EC4">
        <w:rPr>
          <w:rFonts w:eastAsia="Calibri"/>
          <w:b w:val="0"/>
          <w:bCs w:val="0"/>
          <w:i/>
          <w:kern w:val="0"/>
          <w:sz w:val="24"/>
          <w:szCs w:val="24"/>
          <w:lang w:eastAsia="en-US"/>
        </w:rPr>
        <w:t xml:space="preserve"> al</w:t>
      </w:r>
      <w:r w:rsidRPr="00872783">
        <w:rPr>
          <w:rFonts w:eastAsia="Calibri"/>
          <w:b w:val="0"/>
          <w:bCs w:val="0"/>
          <w:kern w:val="0"/>
          <w:sz w:val="24"/>
          <w:szCs w:val="24"/>
          <w:lang w:eastAsia="en-US"/>
        </w:rPr>
        <w:t xml:space="preserve">., 2008). The administration of exogenous hormonal preparations can disrupt normal hormone-receptor interactions through various mechanisms. These preparations may mimic hormones, triggering inappropriate responses at inappropriate times, or block hormone action, resulting in alterations in both hormonal and homeostatic systems (Gore </w:t>
      </w:r>
      <w:r w:rsidR="00D340F0" w:rsidRPr="00D340F0">
        <w:rPr>
          <w:rFonts w:eastAsia="Calibri"/>
          <w:b w:val="0"/>
          <w:bCs w:val="0"/>
          <w:i/>
          <w:kern w:val="0"/>
          <w:sz w:val="24"/>
          <w:szCs w:val="24"/>
          <w:lang w:eastAsia="en-US"/>
        </w:rPr>
        <w:t>et</w:t>
      </w:r>
      <w:r w:rsidR="00A64EC4">
        <w:rPr>
          <w:rFonts w:eastAsia="Calibri"/>
          <w:b w:val="0"/>
          <w:bCs w:val="0"/>
          <w:i/>
          <w:kern w:val="0"/>
          <w:sz w:val="24"/>
          <w:szCs w:val="24"/>
          <w:lang w:eastAsia="en-US"/>
        </w:rPr>
        <w:t xml:space="preserve"> al</w:t>
      </w:r>
      <w:r w:rsidRPr="00872783">
        <w:rPr>
          <w:rFonts w:eastAsia="Calibri"/>
          <w:b w:val="0"/>
          <w:bCs w:val="0"/>
          <w:kern w:val="0"/>
          <w:sz w:val="24"/>
          <w:szCs w:val="24"/>
          <w:lang w:eastAsia="en-US"/>
        </w:rPr>
        <w:t xml:space="preserve">., 2015). Chronic exposure to these agents has been associated with detrimental effects on the development of endocrine tissues and reproductive systems (Martyniuk </w:t>
      </w:r>
      <w:r w:rsidR="00D340F0" w:rsidRPr="00D340F0">
        <w:rPr>
          <w:rFonts w:eastAsia="Calibri"/>
          <w:b w:val="0"/>
          <w:bCs w:val="0"/>
          <w:i/>
          <w:kern w:val="0"/>
          <w:sz w:val="24"/>
          <w:szCs w:val="24"/>
          <w:lang w:eastAsia="en-US"/>
        </w:rPr>
        <w:t>et</w:t>
      </w:r>
      <w:r w:rsidR="00A64EC4">
        <w:rPr>
          <w:rFonts w:eastAsia="Calibri"/>
          <w:b w:val="0"/>
          <w:bCs w:val="0"/>
          <w:i/>
          <w:kern w:val="0"/>
          <w:sz w:val="24"/>
          <w:szCs w:val="24"/>
          <w:lang w:eastAsia="en-US"/>
        </w:rPr>
        <w:t xml:space="preserve"> al</w:t>
      </w:r>
      <w:r w:rsidRPr="00872783">
        <w:rPr>
          <w:rFonts w:eastAsia="Calibri"/>
          <w:b w:val="0"/>
          <w:bCs w:val="0"/>
          <w:kern w:val="0"/>
          <w:sz w:val="24"/>
          <w:szCs w:val="24"/>
          <w:lang w:eastAsia="en-US"/>
        </w:rPr>
        <w:t xml:space="preserve">., 2020; Segner, 2009). The documented adverse effects of endocrine disruptors encompass infertility, cancer, irregular reproductive cycles, disturbances in folliculogenesis and ovulation (Gibson and Saunders, 2014; Van den Belt </w:t>
      </w:r>
      <w:r w:rsidR="00D340F0" w:rsidRPr="00D340F0">
        <w:rPr>
          <w:rFonts w:eastAsia="Calibri"/>
          <w:b w:val="0"/>
          <w:bCs w:val="0"/>
          <w:i/>
          <w:kern w:val="0"/>
          <w:sz w:val="24"/>
          <w:szCs w:val="24"/>
          <w:lang w:eastAsia="en-US"/>
        </w:rPr>
        <w:t>et</w:t>
      </w:r>
      <w:r w:rsidR="00A64EC4">
        <w:rPr>
          <w:rFonts w:eastAsia="Calibri"/>
          <w:b w:val="0"/>
          <w:bCs w:val="0"/>
          <w:i/>
          <w:kern w:val="0"/>
          <w:sz w:val="24"/>
          <w:szCs w:val="24"/>
          <w:lang w:eastAsia="en-US"/>
        </w:rPr>
        <w:t xml:space="preserve"> al</w:t>
      </w:r>
      <w:r w:rsidRPr="00872783">
        <w:rPr>
          <w:rFonts w:eastAsia="Calibri"/>
          <w:b w:val="0"/>
          <w:bCs w:val="0"/>
          <w:kern w:val="0"/>
          <w:sz w:val="24"/>
          <w:szCs w:val="24"/>
          <w:lang w:eastAsia="en-US"/>
        </w:rPr>
        <w:t xml:space="preserve">., 2002). Imbalances in Follicle-Stimulating Hormone (FSH) and Luteinizing Hormone (LH) levels can lead to various reproductive disorders, including cystic ovaries, ovulation failure, delayed ovulation, and infertility (Manocha </w:t>
      </w:r>
      <w:r w:rsidR="00D340F0" w:rsidRPr="00D340F0">
        <w:rPr>
          <w:rFonts w:eastAsia="Calibri"/>
          <w:b w:val="0"/>
          <w:bCs w:val="0"/>
          <w:i/>
          <w:kern w:val="0"/>
          <w:sz w:val="24"/>
          <w:szCs w:val="24"/>
          <w:lang w:eastAsia="en-US"/>
        </w:rPr>
        <w:t>et</w:t>
      </w:r>
      <w:r w:rsidR="00A64EC4">
        <w:rPr>
          <w:rFonts w:eastAsia="Calibri"/>
          <w:b w:val="0"/>
          <w:bCs w:val="0"/>
          <w:i/>
          <w:kern w:val="0"/>
          <w:sz w:val="24"/>
          <w:szCs w:val="24"/>
          <w:lang w:eastAsia="en-US"/>
        </w:rPr>
        <w:t xml:space="preserve"> al</w:t>
      </w:r>
      <w:r w:rsidRPr="00872783">
        <w:rPr>
          <w:rFonts w:eastAsia="Calibri"/>
          <w:b w:val="0"/>
          <w:bCs w:val="0"/>
          <w:kern w:val="0"/>
          <w:sz w:val="24"/>
          <w:szCs w:val="24"/>
          <w:lang w:eastAsia="en-US"/>
        </w:rPr>
        <w:t xml:space="preserve">., 2018). Specific hormonal alterations, often induced by the unnecessary administration of exogenous progesterone, Gonadotropin-Releasing Hormone (GnRH) analogs like Buserelin or Gonadorelin, as well as prostaglandins such as Cloprostenol, Dinoprost, Tiaprost and Luprostiol can significantly impact fertility. These hormonal shifts can lead to irregular estrous cycles and an elevated risk of reproductive tract infections, often characterized by increased progesterone concentration and reduced estradiol levels (Miller and Hunt, 1996; Bosu, 1980). It's crucial to note that the administration of progesterone has been linked to an increased incidence of mammary, ovarian, and uterine tumors in experimental animals (Galbraith, 2002). Melengestrol acetate (MGA), an orally administered progestogen, is a synthetic steroid used as a feed additive and for estrus synchronization (Schiffer </w:t>
      </w:r>
      <w:r w:rsidR="00D340F0" w:rsidRPr="00D340F0">
        <w:rPr>
          <w:rFonts w:eastAsia="Calibri"/>
          <w:b w:val="0"/>
          <w:bCs w:val="0"/>
          <w:i/>
          <w:kern w:val="0"/>
          <w:sz w:val="24"/>
          <w:szCs w:val="24"/>
          <w:lang w:eastAsia="en-US"/>
        </w:rPr>
        <w:t>et</w:t>
      </w:r>
      <w:r w:rsidR="00A64EC4">
        <w:rPr>
          <w:rFonts w:eastAsia="Calibri"/>
          <w:b w:val="0"/>
          <w:bCs w:val="0"/>
          <w:i/>
          <w:kern w:val="0"/>
          <w:sz w:val="24"/>
          <w:szCs w:val="24"/>
          <w:lang w:eastAsia="en-US"/>
        </w:rPr>
        <w:t xml:space="preserve"> al</w:t>
      </w:r>
      <w:r w:rsidRPr="00872783">
        <w:rPr>
          <w:rFonts w:eastAsia="Calibri"/>
          <w:b w:val="0"/>
          <w:bCs w:val="0"/>
          <w:kern w:val="0"/>
          <w:sz w:val="24"/>
          <w:szCs w:val="24"/>
          <w:lang w:eastAsia="en-US"/>
        </w:rPr>
        <w:t xml:space="preserve">., 2001; Patterson </w:t>
      </w:r>
      <w:r w:rsidR="00D340F0" w:rsidRPr="00D340F0">
        <w:rPr>
          <w:rFonts w:eastAsia="Calibri"/>
          <w:b w:val="0"/>
          <w:bCs w:val="0"/>
          <w:i/>
          <w:kern w:val="0"/>
          <w:sz w:val="24"/>
          <w:szCs w:val="24"/>
          <w:lang w:eastAsia="en-US"/>
        </w:rPr>
        <w:t>et</w:t>
      </w:r>
      <w:r w:rsidR="00A64EC4">
        <w:rPr>
          <w:rFonts w:eastAsia="Calibri"/>
          <w:b w:val="0"/>
          <w:bCs w:val="0"/>
          <w:i/>
          <w:kern w:val="0"/>
          <w:sz w:val="24"/>
          <w:szCs w:val="24"/>
          <w:lang w:eastAsia="en-US"/>
        </w:rPr>
        <w:t xml:space="preserve"> al</w:t>
      </w:r>
      <w:r w:rsidRPr="00872783">
        <w:rPr>
          <w:rFonts w:eastAsia="Calibri"/>
          <w:b w:val="0"/>
          <w:bCs w:val="0"/>
          <w:kern w:val="0"/>
          <w:sz w:val="24"/>
          <w:szCs w:val="24"/>
          <w:lang w:eastAsia="en-US"/>
        </w:rPr>
        <w:t xml:space="preserve">., 2005). Classified as a xenobiotic anabolic agent, MGA is associated with the potential for endocrine-disrupting activity (Lange </w:t>
      </w:r>
      <w:r w:rsidR="00D340F0" w:rsidRPr="00D340F0">
        <w:rPr>
          <w:rFonts w:eastAsia="Calibri"/>
          <w:b w:val="0"/>
          <w:bCs w:val="0"/>
          <w:i/>
          <w:kern w:val="0"/>
          <w:sz w:val="24"/>
          <w:szCs w:val="24"/>
          <w:lang w:eastAsia="en-US"/>
        </w:rPr>
        <w:t>et</w:t>
      </w:r>
      <w:r w:rsidR="00A64EC4">
        <w:rPr>
          <w:rFonts w:eastAsia="Calibri"/>
          <w:b w:val="0"/>
          <w:bCs w:val="0"/>
          <w:i/>
          <w:kern w:val="0"/>
          <w:sz w:val="24"/>
          <w:szCs w:val="24"/>
          <w:lang w:eastAsia="en-US"/>
        </w:rPr>
        <w:t xml:space="preserve"> al</w:t>
      </w:r>
      <w:r w:rsidRPr="00872783">
        <w:rPr>
          <w:rFonts w:eastAsia="Calibri"/>
          <w:b w:val="0"/>
          <w:bCs w:val="0"/>
          <w:kern w:val="0"/>
          <w:sz w:val="24"/>
          <w:szCs w:val="24"/>
          <w:lang w:eastAsia="en-US"/>
        </w:rPr>
        <w:t>., 2002).</w:t>
      </w:r>
    </w:p>
    <w:p w:rsidR="00872783" w:rsidRPr="00872783" w:rsidRDefault="00872783" w:rsidP="00872783">
      <w:pPr>
        <w:pStyle w:val="Heading1"/>
        <w:shd w:val="clear" w:color="auto" w:fill="FFFFFF"/>
        <w:tabs>
          <w:tab w:val="left" w:pos="3070"/>
        </w:tabs>
        <w:spacing w:after="172"/>
        <w:jc w:val="both"/>
        <w:rPr>
          <w:rFonts w:eastAsia="Calibri"/>
          <w:bCs w:val="0"/>
          <w:kern w:val="0"/>
          <w:sz w:val="24"/>
          <w:szCs w:val="24"/>
          <w:lang w:eastAsia="en-US"/>
        </w:rPr>
      </w:pPr>
      <w:r w:rsidRPr="00872783">
        <w:rPr>
          <w:rFonts w:eastAsia="Calibri"/>
          <w:bCs w:val="0"/>
          <w:kern w:val="0"/>
          <w:sz w:val="24"/>
          <w:szCs w:val="24"/>
          <w:lang w:eastAsia="en-US"/>
        </w:rPr>
        <w:t>Regulatory Framework and Challenges</w:t>
      </w:r>
    </w:p>
    <w:p w:rsidR="00872783" w:rsidRPr="00872783" w:rsidRDefault="00872783" w:rsidP="009A57C5">
      <w:pPr>
        <w:pStyle w:val="Heading1"/>
        <w:shd w:val="clear" w:color="auto" w:fill="FFFFFF"/>
        <w:tabs>
          <w:tab w:val="left" w:pos="3070"/>
        </w:tabs>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Comprehensive record-keeping of treatments is essential on every farm, serving multiple critical purposes. Firstly, it enables continuous herd monitoring, allowing for the early identification of disease trends, potential outbreaks, and health issues. Secondly, it provides valuable data for informed breeding decisions, aiding in the selection of animals with improved genetic traits related to health. Thirdly, it contributes to disease population statistics, enhancing our understanding of prevalence, transmission patterns, and risk factors within the herd, including environmental influences. Accurate and thorough recording of inseminations and treatments is of utmost importance, facilitating the incorporation of fertility and health traits into a comprehensive breeding program (Refsdal, 2000). To promote animal health and welfare, the use of synthetic substances or hormones should be minimized and reserved for genuine necessity. Routine treatments of reproductive disorders with synthetic hormonal preparations should be discouraged. Each animal should possess a health card, meticulously documenting diagnosed diseases (Refsdal, 1998). Local veterinarians must rigorously oversee the use of hormonal preparations in animal production, educating farmers about potential adverse effects and ethical concerns associated with unnecessary hormone usage. Promoting awareness and responsible practices are fundamental to maintaining animal well-being, ensuring sustainable farming, and safeguarding food product safety for consumers.</w:t>
      </w:r>
    </w:p>
    <w:p w:rsidR="00872783" w:rsidRPr="00872783" w:rsidRDefault="00872783" w:rsidP="009A57C5">
      <w:pPr>
        <w:pStyle w:val="Heading1"/>
        <w:shd w:val="clear" w:color="auto" w:fill="FFFFFF"/>
        <w:tabs>
          <w:tab w:val="left" w:pos="3070"/>
        </w:tabs>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 xml:space="preserve">Regulating unnecessary hormone use in animal reproduction is a complex challenge involving various stakeholders—farmers, veterinarians, regulators, and consumers. Challenges include </w:t>
      </w:r>
      <w:r w:rsidRPr="00872783">
        <w:rPr>
          <w:rFonts w:eastAsia="Calibri"/>
          <w:b w:val="0"/>
          <w:bCs w:val="0"/>
          <w:kern w:val="0"/>
          <w:sz w:val="24"/>
          <w:szCs w:val="24"/>
          <w:lang w:eastAsia="en-US"/>
        </w:rPr>
        <w:lastRenderedPageBreak/>
        <w:t>regulatory non-uniformity, difficulty in educating farmers, reluctance to disclose information, and limited affordability and effectiveness of alternatives. Addressing these challenges demands a collaborative effort among governments, researchers, and farmers to develop and implement consistent regulations, promote alternatives, and ensure the responsible use of hormones in animal reproduction.</w:t>
      </w:r>
    </w:p>
    <w:p w:rsidR="00872783" w:rsidRPr="00872783" w:rsidRDefault="00872783" w:rsidP="00872783">
      <w:pPr>
        <w:pStyle w:val="Heading1"/>
        <w:shd w:val="clear" w:color="auto" w:fill="FFFFFF"/>
        <w:tabs>
          <w:tab w:val="left" w:pos="3070"/>
        </w:tabs>
        <w:spacing w:after="172"/>
        <w:jc w:val="both"/>
        <w:rPr>
          <w:rFonts w:eastAsia="Calibri"/>
          <w:bCs w:val="0"/>
          <w:kern w:val="0"/>
          <w:sz w:val="24"/>
          <w:szCs w:val="24"/>
          <w:lang w:eastAsia="en-US"/>
        </w:rPr>
      </w:pPr>
      <w:r w:rsidRPr="00872783">
        <w:rPr>
          <w:rFonts w:eastAsia="Calibri"/>
          <w:bCs w:val="0"/>
          <w:kern w:val="0"/>
          <w:sz w:val="24"/>
          <w:szCs w:val="24"/>
          <w:lang w:eastAsia="en-US"/>
        </w:rPr>
        <w:t>CONCLUSION</w:t>
      </w:r>
      <w:r w:rsidR="00842E67">
        <w:rPr>
          <w:rFonts w:eastAsia="Calibri"/>
          <w:bCs w:val="0"/>
          <w:kern w:val="0"/>
          <w:sz w:val="24"/>
          <w:szCs w:val="24"/>
          <w:lang w:eastAsia="en-US"/>
        </w:rPr>
        <w:t>S</w:t>
      </w:r>
    </w:p>
    <w:p w:rsidR="00872783" w:rsidRDefault="00872783" w:rsidP="009A57C5">
      <w:pPr>
        <w:pStyle w:val="Heading1"/>
        <w:shd w:val="clear" w:color="auto" w:fill="FFFFFF"/>
        <w:tabs>
          <w:tab w:val="left" w:pos="3070"/>
        </w:tabs>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To comprehensively grasp the impact of exogenous hormonal preparations on animal reproduction, extensive research into their mechanisms is imperative. Furthermore, there is a critical need for an extensive array of studies. Promoting awareness and educating farmers and local veterinarians on the advantages and potential risks associated with hormone use in animal reproduction is essential. Effective communication is the key to enabling informed decision-making and instigating meaningful change.</w:t>
      </w:r>
    </w:p>
    <w:p w:rsidR="00842E67" w:rsidRPr="00842E67" w:rsidRDefault="00842E67" w:rsidP="00842E67">
      <w:pPr>
        <w:pStyle w:val="Heading1"/>
        <w:shd w:val="clear" w:color="auto" w:fill="FFFFFF"/>
        <w:tabs>
          <w:tab w:val="left" w:pos="3070"/>
        </w:tabs>
        <w:spacing w:after="172"/>
        <w:jc w:val="both"/>
        <w:rPr>
          <w:rFonts w:eastAsia="Calibri"/>
          <w:bCs w:val="0"/>
          <w:kern w:val="0"/>
          <w:sz w:val="24"/>
          <w:szCs w:val="24"/>
          <w:lang w:eastAsia="en-US"/>
        </w:rPr>
      </w:pPr>
      <w:r w:rsidRPr="00842E67">
        <w:rPr>
          <w:rFonts w:eastAsia="Calibri"/>
          <w:bCs w:val="0"/>
          <w:kern w:val="0"/>
          <w:sz w:val="24"/>
          <w:szCs w:val="24"/>
          <w:lang w:eastAsia="en-US"/>
        </w:rPr>
        <w:t>CONFLICT OF INTEREST</w:t>
      </w:r>
    </w:p>
    <w:p w:rsidR="00842E67" w:rsidRPr="00842E67" w:rsidRDefault="00842E67" w:rsidP="00842E67">
      <w:pPr>
        <w:shd w:val="clear" w:color="auto" w:fill="FFFFFF"/>
        <w:spacing w:after="0" w:line="240" w:lineRule="auto"/>
        <w:rPr>
          <w:rFonts w:ascii="Times New Roman" w:eastAsia="Calibri" w:hAnsi="Times New Roman" w:cs="Times New Roman"/>
          <w:sz w:val="24"/>
          <w:szCs w:val="24"/>
          <w:lang w:val="en-IN"/>
        </w:rPr>
      </w:pPr>
      <w:r w:rsidRPr="00842E67">
        <w:rPr>
          <w:rFonts w:ascii="Times New Roman" w:eastAsia="Calibri" w:hAnsi="Times New Roman" w:cs="Times New Roman"/>
          <w:sz w:val="24"/>
          <w:szCs w:val="24"/>
          <w:lang w:val="en-IN"/>
        </w:rPr>
        <w:t>None.</w:t>
      </w:r>
    </w:p>
    <w:p w:rsidR="00872783" w:rsidRPr="00872783" w:rsidRDefault="00872783" w:rsidP="00872783">
      <w:pPr>
        <w:pStyle w:val="Heading1"/>
        <w:shd w:val="clear" w:color="auto" w:fill="FFFFFF"/>
        <w:tabs>
          <w:tab w:val="left" w:pos="3070"/>
        </w:tabs>
        <w:spacing w:after="172"/>
        <w:jc w:val="both"/>
        <w:rPr>
          <w:rFonts w:eastAsia="Calibri"/>
          <w:b w:val="0"/>
          <w:bCs w:val="0"/>
          <w:kern w:val="0"/>
          <w:sz w:val="24"/>
          <w:szCs w:val="24"/>
          <w:lang w:eastAsia="en-US"/>
        </w:rPr>
      </w:pPr>
      <w:r w:rsidRPr="00872783">
        <w:rPr>
          <w:rFonts w:eastAsia="Calibri"/>
          <w:bCs w:val="0"/>
          <w:kern w:val="0"/>
          <w:sz w:val="24"/>
          <w:szCs w:val="24"/>
          <w:lang w:eastAsia="en-US"/>
        </w:rPr>
        <w:t>REFERENCES</w:t>
      </w:r>
      <w:r w:rsidRPr="00872783">
        <w:rPr>
          <w:rFonts w:eastAsia="Calibri"/>
          <w:bCs w:val="0"/>
          <w:kern w:val="0"/>
          <w:sz w:val="24"/>
          <w:szCs w:val="24"/>
          <w:lang w:eastAsia="en-US"/>
        </w:rPr>
        <w:tab/>
      </w:r>
    </w:p>
    <w:p w:rsidR="00872783" w:rsidRP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 xml:space="preserve">Adams, W.M., Wagner, W.C., (1970). The role of corticoids </w:t>
      </w:r>
      <w:r w:rsidR="00EB0B48">
        <w:rPr>
          <w:rFonts w:eastAsia="Calibri"/>
          <w:b w:val="0"/>
          <w:bCs w:val="0"/>
          <w:kern w:val="0"/>
          <w:sz w:val="24"/>
          <w:szCs w:val="24"/>
          <w:lang w:eastAsia="en-US"/>
        </w:rPr>
        <w:t xml:space="preserve">in parturition. </w:t>
      </w:r>
      <w:r w:rsidR="00EB0B48" w:rsidRPr="00EB0B48">
        <w:rPr>
          <w:rFonts w:eastAsia="Calibri"/>
          <w:b w:val="0"/>
          <w:bCs w:val="0"/>
          <w:i/>
          <w:kern w:val="0"/>
          <w:sz w:val="24"/>
          <w:szCs w:val="24"/>
          <w:lang w:eastAsia="en-US"/>
        </w:rPr>
        <w:t>Biol. Reprod</w:t>
      </w:r>
      <w:r w:rsidR="00EB0B48">
        <w:rPr>
          <w:rFonts w:eastAsia="Calibri"/>
          <w:b w:val="0"/>
          <w:bCs w:val="0"/>
          <w:kern w:val="0"/>
          <w:sz w:val="24"/>
          <w:szCs w:val="24"/>
          <w:lang w:eastAsia="en-US"/>
        </w:rPr>
        <w:t xml:space="preserve">. </w:t>
      </w:r>
      <w:r w:rsidR="00EB0B48" w:rsidRPr="00EB0B48">
        <w:rPr>
          <w:rFonts w:eastAsia="Calibri"/>
          <w:bCs w:val="0"/>
          <w:kern w:val="0"/>
          <w:sz w:val="24"/>
          <w:szCs w:val="24"/>
          <w:lang w:eastAsia="en-US"/>
        </w:rPr>
        <w:t>3</w:t>
      </w:r>
      <w:r w:rsidR="00EB0B48">
        <w:rPr>
          <w:rFonts w:eastAsia="Calibri"/>
          <w:b w:val="0"/>
          <w:bCs w:val="0"/>
          <w:kern w:val="0"/>
          <w:sz w:val="24"/>
          <w:szCs w:val="24"/>
          <w:lang w:eastAsia="en-US"/>
        </w:rPr>
        <w:t>:</w:t>
      </w:r>
      <w:r w:rsidRPr="00872783">
        <w:rPr>
          <w:rFonts w:eastAsia="Calibri"/>
          <w:b w:val="0"/>
          <w:bCs w:val="0"/>
          <w:kern w:val="0"/>
          <w:sz w:val="24"/>
          <w:szCs w:val="24"/>
          <w:lang w:eastAsia="en-US"/>
        </w:rPr>
        <w:t xml:space="preserve"> 223–228</w:t>
      </w:r>
      <w:r w:rsidR="009F4A0B">
        <w:rPr>
          <w:rFonts w:eastAsia="Calibri"/>
          <w:b w:val="0"/>
          <w:bCs w:val="0"/>
          <w:kern w:val="0"/>
          <w:sz w:val="24"/>
          <w:szCs w:val="24"/>
          <w:lang w:eastAsia="en-US"/>
        </w:rPr>
        <w:t>.</w:t>
      </w:r>
    </w:p>
    <w:p w:rsidR="00872783" w:rsidRP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 xml:space="preserve">Arsenescu, V., Arsenescu, R.I., King, V., Swanson, H., Cassis, L.A., (2008). Polychlorinated biphenyl-77 induces adipocyte differentiation and proinflammatory adipokines and promotes obesity and atherosclerosis. </w:t>
      </w:r>
      <w:r w:rsidRPr="008358A5">
        <w:rPr>
          <w:rFonts w:eastAsia="Calibri"/>
          <w:b w:val="0"/>
          <w:bCs w:val="0"/>
          <w:i/>
          <w:kern w:val="0"/>
          <w:sz w:val="24"/>
          <w:szCs w:val="24"/>
          <w:lang w:eastAsia="en-US"/>
        </w:rPr>
        <w:t>Environ. Health Perspect</w:t>
      </w:r>
      <w:r w:rsidRPr="00872783">
        <w:rPr>
          <w:rFonts w:eastAsia="Calibri"/>
          <w:b w:val="0"/>
          <w:bCs w:val="0"/>
          <w:kern w:val="0"/>
          <w:sz w:val="24"/>
          <w:szCs w:val="24"/>
          <w:lang w:eastAsia="en-US"/>
        </w:rPr>
        <w:t xml:space="preserve">. </w:t>
      </w:r>
      <w:r w:rsidRPr="00EB0B48">
        <w:rPr>
          <w:rFonts w:eastAsia="Calibri"/>
          <w:bCs w:val="0"/>
          <w:kern w:val="0"/>
          <w:sz w:val="24"/>
          <w:szCs w:val="24"/>
          <w:lang w:eastAsia="en-US"/>
        </w:rPr>
        <w:t>116</w:t>
      </w:r>
      <w:r w:rsidR="00EB0B48">
        <w:rPr>
          <w:rFonts w:eastAsia="Calibri"/>
          <w:b w:val="0"/>
          <w:bCs w:val="0"/>
          <w:kern w:val="0"/>
          <w:sz w:val="24"/>
          <w:szCs w:val="24"/>
          <w:lang w:eastAsia="en-US"/>
        </w:rPr>
        <w:t>:</w:t>
      </w:r>
      <w:r w:rsidRPr="00872783">
        <w:rPr>
          <w:rFonts w:eastAsia="Calibri"/>
          <w:b w:val="0"/>
          <w:bCs w:val="0"/>
          <w:kern w:val="0"/>
          <w:sz w:val="24"/>
          <w:szCs w:val="24"/>
          <w:lang w:eastAsia="en-US"/>
        </w:rPr>
        <w:t xml:space="preserve"> 761–768.</w:t>
      </w:r>
    </w:p>
    <w:p w:rsidR="00872783" w:rsidRP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Bosu, W. T. K. (1980). Practical Uses of GnRH and Prostaglandins in Bovine Reproduction. In American Association of Bovine Practitioners Conference Proceedings</w:t>
      </w:r>
      <w:r w:rsidR="008358A5">
        <w:rPr>
          <w:rFonts w:eastAsia="Calibri"/>
          <w:b w:val="0"/>
          <w:bCs w:val="0"/>
          <w:kern w:val="0"/>
          <w:sz w:val="24"/>
          <w:szCs w:val="24"/>
          <w:lang w:eastAsia="en-US"/>
        </w:rPr>
        <w:t>., p.</w:t>
      </w:r>
      <w:r w:rsidRPr="00872783">
        <w:rPr>
          <w:rFonts w:eastAsia="Calibri"/>
          <w:b w:val="0"/>
          <w:bCs w:val="0"/>
          <w:kern w:val="0"/>
          <w:sz w:val="24"/>
          <w:szCs w:val="24"/>
          <w:lang w:eastAsia="en-US"/>
        </w:rPr>
        <w:t> 137-150.</w:t>
      </w:r>
    </w:p>
    <w:p w:rsidR="00872783" w:rsidRP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Douglas, R.H., Ginther, O.J., (1973). Luteolysis following a single injection of</w:t>
      </w:r>
      <w:r w:rsidR="008358A5">
        <w:rPr>
          <w:rFonts w:eastAsia="Calibri"/>
          <w:b w:val="0"/>
          <w:bCs w:val="0"/>
          <w:kern w:val="0"/>
          <w:sz w:val="24"/>
          <w:szCs w:val="24"/>
          <w:lang w:eastAsia="en-US"/>
        </w:rPr>
        <w:t xml:space="preserve"> PGF2in sheep. </w:t>
      </w:r>
      <w:r w:rsidR="008358A5" w:rsidRPr="008358A5">
        <w:rPr>
          <w:rFonts w:eastAsia="Calibri"/>
          <w:b w:val="0"/>
          <w:bCs w:val="0"/>
          <w:i/>
          <w:kern w:val="0"/>
          <w:sz w:val="24"/>
          <w:szCs w:val="24"/>
          <w:lang w:eastAsia="en-US"/>
        </w:rPr>
        <w:t>J. Anim. Sci.</w:t>
      </w:r>
      <w:r w:rsidR="008358A5">
        <w:rPr>
          <w:rFonts w:eastAsia="Calibri"/>
          <w:b w:val="0"/>
          <w:bCs w:val="0"/>
          <w:kern w:val="0"/>
          <w:sz w:val="24"/>
          <w:szCs w:val="24"/>
          <w:lang w:eastAsia="en-US"/>
        </w:rPr>
        <w:t xml:space="preserve"> </w:t>
      </w:r>
      <w:r w:rsidR="008358A5" w:rsidRPr="008358A5">
        <w:rPr>
          <w:rFonts w:eastAsia="Calibri"/>
          <w:bCs w:val="0"/>
          <w:kern w:val="0"/>
          <w:sz w:val="24"/>
          <w:szCs w:val="24"/>
          <w:lang w:eastAsia="en-US"/>
        </w:rPr>
        <w:t>37</w:t>
      </w:r>
      <w:r w:rsidR="008358A5">
        <w:rPr>
          <w:rFonts w:eastAsia="Calibri"/>
          <w:b w:val="0"/>
          <w:bCs w:val="0"/>
          <w:kern w:val="0"/>
          <w:sz w:val="24"/>
          <w:szCs w:val="24"/>
          <w:lang w:eastAsia="en-US"/>
        </w:rPr>
        <w:t>:</w:t>
      </w:r>
      <w:r w:rsidRPr="00872783">
        <w:rPr>
          <w:rFonts w:eastAsia="Calibri"/>
          <w:b w:val="0"/>
          <w:bCs w:val="0"/>
          <w:kern w:val="0"/>
          <w:sz w:val="24"/>
          <w:szCs w:val="24"/>
          <w:lang w:eastAsia="en-US"/>
        </w:rPr>
        <w:t xml:space="preserve"> 990–993.</w:t>
      </w:r>
    </w:p>
    <w:p w:rsidR="00872783" w:rsidRP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Holroyd, R. G., &amp; McGowan, M. R. (2014). Reproductive management of beef cattle. Be</w:t>
      </w:r>
      <w:r w:rsidR="008358A5">
        <w:rPr>
          <w:rFonts w:eastAsia="Calibri"/>
          <w:b w:val="0"/>
          <w:bCs w:val="0"/>
          <w:kern w:val="0"/>
          <w:sz w:val="24"/>
          <w:szCs w:val="24"/>
          <w:lang w:eastAsia="en-US"/>
        </w:rPr>
        <w:t xml:space="preserve">ef cattle production and trade. </w:t>
      </w:r>
      <w:r w:rsidR="008358A5" w:rsidRPr="008358A5">
        <w:rPr>
          <w:rFonts w:eastAsia="Calibri"/>
          <w:bCs w:val="0"/>
          <w:kern w:val="0"/>
          <w:sz w:val="24"/>
          <w:szCs w:val="24"/>
          <w:lang w:eastAsia="en-US"/>
        </w:rPr>
        <w:t>14</w:t>
      </w:r>
      <w:r w:rsidR="008358A5">
        <w:rPr>
          <w:rFonts w:eastAsia="Calibri"/>
          <w:b w:val="0"/>
          <w:bCs w:val="0"/>
          <w:kern w:val="0"/>
          <w:sz w:val="24"/>
          <w:szCs w:val="24"/>
          <w:lang w:eastAsia="en-US"/>
        </w:rPr>
        <w:t xml:space="preserve">: </w:t>
      </w:r>
      <w:r w:rsidRPr="00872783">
        <w:rPr>
          <w:rFonts w:eastAsia="Calibri"/>
          <w:b w:val="0"/>
          <w:bCs w:val="0"/>
          <w:kern w:val="0"/>
          <w:sz w:val="24"/>
          <w:szCs w:val="24"/>
          <w:lang w:eastAsia="en-US"/>
        </w:rPr>
        <w:t>291.</w:t>
      </w:r>
    </w:p>
    <w:p w:rsidR="00872783" w:rsidRP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 xml:space="preserve">Galbraith H. (2002). Hormones in international meat production: biological, sociological and consumer issues. </w:t>
      </w:r>
      <w:r w:rsidRPr="00183568">
        <w:rPr>
          <w:rFonts w:eastAsia="Calibri"/>
          <w:b w:val="0"/>
          <w:bCs w:val="0"/>
          <w:i/>
          <w:kern w:val="0"/>
          <w:sz w:val="24"/>
          <w:szCs w:val="24"/>
          <w:lang w:eastAsia="en-US"/>
        </w:rPr>
        <w:t>Nutr Res Rev.</w:t>
      </w:r>
      <w:r w:rsidRPr="00872783">
        <w:rPr>
          <w:rFonts w:eastAsia="Calibri"/>
          <w:b w:val="0"/>
          <w:bCs w:val="0"/>
          <w:kern w:val="0"/>
          <w:sz w:val="24"/>
          <w:szCs w:val="24"/>
          <w:lang w:eastAsia="en-US"/>
        </w:rPr>
        <w:t xml:space="preserve"> </w:t>
      </w:r>
      <w:r w:rsidRPr="00183568">
        <w:rPr>
          <w:rFonts w:eastAsia="Calibri"/>
          <w:bCs w:val="0"/>
          <w:kern w:val="0"/>
          <w:sz w:val="24"/>
          <w:szCs w:val="24"/>
          <w:lang w:eastAsia="en-US"/>
        </w:rPr>
        <w:t>15</w:t>
      </w:r>
      <w:r w:rsidRPr="00872783">
        <w:rPr>
          <w:rFonts w:eastAsia="Calibri"/>
          <w:b w:val="0"/>
          <w:bCs w:val="0"/>
          <w:kern w:val="0"/>
          <w:sz w:val="24"/>
          <w:szCs w:val="24"/>
          <w:lang w:eastAsia="en-US"/>
        </w:rPr>
        <w:t>:293–314. </w:t>
      </w:r>
    </w:p>
    <w:p w:rsid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 xml:space="preserve">Gibson, D.A., Saunders, P.T.K., (2014). Endocrine disruption of oestrogen action and female reproductive tract cancers. </w:t>
      </w:r>
      <w:r w:rsidRPr="00183568">
        <w:rPr>
          <w:rFonts w:eastAsia="Calibri"/>
          <w:b w:val="0"/>
          <w:bCs w:val="0"/>
          <w:i/>
          <w:kern w:val="0"/>
          <w:sz w:val="24"/>
          <w:szCs w:val="24"/>
          <w:lang w:eastAsia="en-US"/>
        </w:rPr>
        <w:t>Endocr. Relat. Cancer</w:t>
      </w:r>
      <w:r w:rsidRPr="00872783">
        <w:rPr>
          <w:rFonts w:eastAsia="Calibri"/>
          <w:b w:val="0"/>
          <w:bCs w:val="0"/>
          <w:kern w:val="0"/>
          <w:sz w:val="24"/>
          <w:szCs w:val="24"/>
          <w:lang w:eastAsia="en-US"/>
        </w:rPr>
        <w:t xml:space="preserve"> </w:t>
      </w:r>
      <w:r w:rsidRPr="00183568">
        <w:rPr>
          <w:rFonts w:eastAsia="Calibri"/>
          <w:bCs w:val="0"/>
          <w:kern w:val="0"/>
          <w:sz w:val="24"/>
          <w:szCs w:val="24"/>
          <w:lang w:eastAsia="en-US"/>
        </w:rPr>
        <w:t>21</w:t>
      </w:r>
      <w:r w:rsidR="00183568">
        <w:rPr>
          <w:rFonts w:eastAsia="Calibri"/>
          <w:b w:val="0"/>
          <w:bCs w:val="0"/>
          <w:kern w:val="0"/>
          <w:sz w:val="24"/>
          <w:szCs w:val="24"/>
          <w:lang w:eastAsia="en-US"/>
        </w:rPr>
        <w:t>: 13–</w:t>
      </w:r>
      <w:r w:rsidRPr="00872783">
        <w:rPr>
          <w:rFonts w:eastAsia="Calibri"/>
          <w:b w:val="0"/>
          <w:bCs w:val="0"/>
          <w:kern w:val="0"/>
          <w:sz w:val="24"/>
          <w:szCs w:val="24"/>
          <w:lang w:eastAsia="en-US"/>
        </w:rPr>
        <w:t>31.</w:t>
      </w:r>
    </w:p>
    <w:p w:rsidR="00E86DE9" w:rsidRPr="00872783" w:rsidRDefault="00E86DE9" w:rsidP="00E86DE9">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Gore AC, Chappell VA, Fenton SE, Flaws JA, Nadal A, Prins GS, Toppari J, Zoeller RT. (2015). The Endocrine Society's second scientific statement on endocrine-disrupting chemicals. </w:t>
      </w:r>
      <w:r w:rsidRPr="00E8533F">
        <w:rPr>
          <w:rFonts w:eastAsia="Calibri"/>
          <w:b w:val="0"/>
          <w:bCs w:val="0"/>
          <w:i/>
          <w:kern w:val="0"/>
          <w:sz w:val="24"/>
          <w:szCs w:val="24"/>
          <w:lang w:eastAsia="en-US"/>
        </w:rPr>
        <w:t>Endocr Rev</w:t>
      </w:r>
      <w:r w:rsidRPr="00872783">
        <w:rPr>
          <w:rFonts w:eastAsia="Calibri"/>
          <w:b w:val="0"/>
          <w:bCs w:val="0"/>
          <w:kern w:val="0"/>
          <w:sz w:val="24"/>
          <w:szCs w:val="24"/>
          <w:lang w:eastAsia="en-US"/>
        </w:rPr>
        <w:t> ; </w:t>
      </w:r>
      <w:r w:rsidRPr="00624819">
        <w:rPr>
          <w:rFonts w:eastAsia="Calibri"/>
          <w:bCs w:val="0"/>
          <w:kern w:val="0"/>
          <w:sz w:val="24"/>
          <w:szCs w:val="24"/>
          <w:lang w:eastAsia="en-US"/>
        </w:rPr>
        <w:t>36</w:t>
      </w:r>
      <w:r>
        <w:rPr>
          <w:rFonts w:eastAsia="Calibri"/>
          <w:b w:val="0"/>
          <w:bCs w:val="0"/>
          <w:kern w:val="0"/>
          <w:sz w:val="24"/>
          <w:szCs w:val="24"/>
          <w:lang w:eastAsia="en-US"/>
        </w:rPr>
        <w:t>(6): 1–</w:t>
      </w:r>
      <w:r w:rsidRPr="00872783">
        <w:rPr>
          <w:rFonts w:eastAsia="Calibri"/>
          <w:b w:val="0"/>
          <w:bCs w:val="0"/>
          <w:kern w:val="0"/>
          <w:sz w:val="24"/>
          <w:szCs w:val="24"/>
          <w:lang w:eastAsia="en-US"/>
        </w:rPr>
        <w:t>150.</w:t>
      </w:r>
    </w:p>
    <w:p w:rsidR="00E86DE9" w:rsidRPr="00872783" w:rsidRDefault="00E86DE9"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lastRenderedPageBreak/>
        <w:t xml:space="preserve">Gulati M, Meikle AW, </w:t>
      </w:r>
      <w:r w:rsidRPr="00D340F0">
        <w:rPr>
          <w:rFonts w:eastAsia="Calibri"/>
          <w:b w:val="0"/>
          <w:bCs w:val="0"/>
          <w:i/>
          <w:kern w:val="0"/>
          <w:sz w:val="24"/>
          <w:szCs w:val="24"/>
          <w:lang w:eastAsia="en-US"/>
        </w:rPr>
        <w:t>et</w:t>
      </w:r>
      <w:r w:rsidR="007D6FB5">
        <w:rPr>
          <w:rFonts w:eastAsia="Calibri"/>
          <w:b w:val="0"/>
          <w:bCs w:val="0"/>
          <w:kern w:val="0"/>
          <w:sz w:val="24"/>
          <w:szCs w:val="24"/>
          <w:lang w:eastAsia="en-US"/>
        </w:rPr>
        <w:t xml:space="preserve"> al.,</w:t>
      </w:r>
      <w:r>
        <w:rPr>
          <w:rFonts w:eastAsia="Calibri"/>
          <w:b w:val="0"/>
          <w:bCs w:val="0"/>
          <w:kern w:val="0"/>
          <w:sz w:val="24"/>
          <w:szCs w:val="24"/>
          <w:lang w:eastAsia="en-US"/>
        </w:rPr>
        <w:t xml:space="preserve"> (2013). Chap</w:t>
      </w:r>
      <w:r w:rsidRPr="00872783">
        <w:rPr>
          <w:rFonts w:eastAsia="Calibri"/>
          <w:b w:val="0"/>
          <w:bCs w:val="0"/>
          <w:kern w:val="0"/>
          <w:sz w:val="24"/>
          <w:szCs w:val="24"/>
          <w:lang w:eastAsia="en-US"/>
        </w:rPr>
        <w:t xml:space="preserve"> 22: gonadal function. In: Bishop, ed. Clinical chemistry: techniques, principles and correlations. 7th ed India: Wolters Kluwer; </w:t>
      </w:r>
      <w:r>
        <w:rPr>
          <w:rFonts w:eastAsia="Calibri"/>
          <w:b w:val="0"/>
          <w:bCs w:val="0"/>
          <w:kern w:val="0"/>
          <w:sz w:val="24"/>
          <w:szCs w:val="24"/>
          <w:lang w:eastAsia="en-US"/>
        </w:rPr>
        <w:t xml:space="preserve">p. </w:t>
      </w:r>
      <w:r w:rsidRPr="00872783">
        <w:rPr>
          <w:rFonts w:eastAsia="Calibri"/>
          <w:b w:val="0"/>
          <w:bCs w:val="0"/>
          <w:kern w:val="0"/>
          <w:sz w:val="24"/>
          <w:szCs w:val="24"/>
          <w:lang w:eastAsia="en-US"/>
        </w:rPr>
        <w:t>472–488.</w:t>
      </w:r>
    </w:p>
    <w:p w:rsid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Gross, T.S., Williams, W.F., Moreland, T.W., (1986). Prevention of the retained fetal membrane syndrome retained placenta during induced calving in d</w:t>
      </w:r>
      <w:r w:rsidR="00183568">
        <w:rPr>
          <w:rFonts w:eastAsia="Calibri"/>
          <w:b w:val="0"/>
          <w:bCs w:val="0"/>
          <w:kern w:val="0"/>
          <w:sz w:val="24"/>
          <w:szCs w:val="24"/>
          <w:lang w:eastAsia="en-US"/>
        </w:rPr>
        <w:t xml:space="preserve">airy cattle. </w:t>
      </w:r>
      <w:r w:rsidR="00183568" w:rsidRPr="00183568">
        <w:rPr>
          <w:rFonts w:eastAsia="Calibri"/>
          <w:b w:val="0"/>
          <w:bCs w:val="0"/>
          <w:i/>
          <w:kern w:val="0"/>
          <w:sz w:val="24"/>
          <w:szCs w:val="24"/>
          <w:lang w:eastAsia="en-US"/>
        </w:rPr>
        <w:t>Theriogenology</w:t>
      </w:r>
      <w:r w:rsidR="00183568">
        <w:rPr>
          <w:rFonts w:eastAsia="Calibri"/>
          <w:b w:val="0"/>
          <w:bCs w:val="0"/>
          <w:kern w:val="0"/>
          <w:sz w:val="24"/>
          <w:szCs w:val="24"/>
          <w:lang w:eastAsia="en-US"/>
        </w:rPr>
        <w:t xml:space="preserve"> </w:t>
      </w:r>
      <w:r w:rsidR="00183568" w:rsidRPr="00183568">
        <w:rPr>
          <w:rFonts w:eastAsia="Calibri"/>
          <w:bCs w:val="0"/>
          <w:kern w:val="0"/>
          <w:sz w:val="24"/>
          <w:szCs w:val="24"/>
          <w:lang w:eastAsia="en-US"/>
        </w:rPr>
        <w:t>26</w:t>
      </w:r>
      <w:r w:rsidR="00183568">
        <w:rPr>
          <w:rFonts w:eastAsia="Calibri"/>
          <w:b w:val="0"/>
          <w:bCs w:val="0"/>
          <w:kern w:val="0"/>
          <w:sz w:val="24"/>
          <w:szCs w:val="24"/>
          <w:lang w:eastAsia="en-US"/>
        </w:rPr>
        <w:t xml:space="preserve">: </w:t>
      </w:r>
      <w:r w:rsidRPr="00872783">
        <w:rPr>
          <w:rFonts w:eastAsia="Calibri"/>
          <w:b w:val="0"/>
          <w:bCs w:val="0"/>
          <w:kern w:val="0"/>
          <w:sz w:val="24"/>
          <w:szCs w:val="24"/>
          <w:lang w:eastAsia="en-US"/>
        </w:rPr>
        <w:t>365–370</w:t>
      </w:r>
      <w:r w:rsidR="00706CB0">
        <w:rPr>
          <w:rFonts w:eastAsia="Calibri"/>
          <w:b w:val="0"/>
          <w:bCs w:val="0"/>
          <w:kern w:val="0"/>
          <w:sz w:val="24"/>
          <w:szCs w:val="24"/>
          <w:lang w:eastAsia="en-US"/>
        </w:rPr>
        <w:t>.</w:t>
      </w:r>
    </w:p>
    <w:p w:rsidR="00706CB0" w:rsidRPr="00872783" w:rsidRDefault="00706CB0"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 xml:space="preserve">Jaswal, R.S. and Singh, M. (2013). The effect of administration of gonadotropin releasing hormone analogue at estrus or during luteal phase on reproductive performance of dairy cows maintained under sub-temperate climate. </w:t>
      </w:r>
      <w:r w:rsidRPr="00183568">
        <w:rPr>
          <w:rFonts w:eastAsia="Calibri"/>
          <w:b w:val="0"/>
          <w:bCs w:val="0"/>
          <w:i/>
          <w:kern w:val="0"/>
          <w:sz w:val="24"/>
          <w:szCs w:val="24"/>
          <w:lang w:eastAsia="en-US"/>
        </w:rPr>
        <w:t>Iranian J. Vet. Res.</w:t>
      </w:r>
      <w:r w:rsidRPr="00872783">
        <w:rPr>
          <w:rFonts w:eastAsia="Calibri"/>
          <w:b w:val="0"/>
          <w:bCs w:val="0"/>
          <w:kern w:val="0"/>
          <w:sz w:val="24"/>
          <w:szCs w:val="24"/>
          <w:lang w:eastAsia="en-US"/>
        </w:rPr>
        <w:t xml:space="preserve"> </w:t>
      </w:r>
      <w:r w:rsidRPr="00183568">
        <w:rPr>
          <w:rFonts w:eastAsia="Calibri"/>
          <w:bCs w:val="0"/>
          <w:kern w:val="0"/>
          <w:sz w:val="24"/>
          <w:szCs w:val="24"/>
          <w:lang w:eastAsia="en-US"/>
        </w:rPr>
        <w:t>14</w:t>
      </w:r>
      <w:r w:rsidRPr="00872783">
        <w:rPr>
          <w:rFonts w:eastAsia="Calibri"/>
          <w:b w:val="0"/>
          <w:bCs w:val="0"/>
          <w:kern w:val="0"/>
          <w:sz w:val="24"/>
          <w:szCs w:val="24"/>
          <w:lang w:eastAsia="en-US"/>
        </w:rPr>
        <w:t>(1):</w:t>
      </w:r>
      <w:r>
        <w:rPr>
          <w:rFonts w:eastAsia="Calibri"/>
          <w:b w:val="0"/>
          <w:bCs w:val="0"/>
          <w:kern w:val="0"/>
          <w:sz w:val="24"/>
          <w:szCs w:val="24"/>
          <w:lang w:eastAsia="en-US"/>
        </w:rPr>
        <w:t xml:space="preserve"> </w:t>
      </w:r>
      <w:r w:rsidRPr="00872783">
        <w:rPr>
          <w:rFonts w:eastAsia="Calibri"/>
          <w:b w:val="0"/>
          <w:bCs w:val="0"/>
          <w:kern w:val="0"/>
          <w:sz w:val="24"/>
          <w:szCs w:val="24"/>
          <w:lang w:eastAsia="en-US"/>
        </w:rPr>
        <w:t>57-60.</w:t>
      </w:r>
    </w:p>
    <w:p w:rsidR="00872783" w:rsidRP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Refsdal, A. O. (2000). To treat or not to treat: a proper use of hormones and antibiotics. </w:t>
      </w:r>
      <w:r w:rsidRPr="00183568">
        <w:rPr>
          <w:rFonts w:eastAsia="Calibri"/>
          <w:b w:val="0"/>
          <w:bCs w:val="0"/>
          <w:i/>
          <w:kern w:val="0"/>
          <w:sz w:val="24"/>
          <w:szCs w:val="24"/>
          <w:lang w:eastAsia="en-US"/>
        </w:rPr>
        <w:t>Ani</w:t>
      </w:r>
      <w:r w:rsidR="00183568">
        <w:rPr>
          <w:rFonts w:eastAsia="Calibri"/>
          <w:b w:val="0"/>
          <w:bCs w:val="0"/>
          <w:i/>
          <w:kern w:val="0"/>
          <w:sz w:val="24"/>
          <w:szCs w:val="24"/>
          <w:lang w:eastAsia="en-US"/>
        </w:rPr>
        <w:t>.</w:t>
      </w:r>
      <w:r w:rsidRPr="00183568">
        <w:rPr>
          <w:rFonts w:eastAsia="Calibri"/>
          <w:b w:val="0"/>
          <w:bCs w:val="0"/>
          <w:i/>
          <w:kern w:val="0"/>
          <w:sz w:val="24"/>
          <w:szCs w:val="24"/>
          <w:lang w:eastAsia="en-US"/>
        </w:rPr>
        <w:t xml:space="preserve"> Repro</w:t>
      </w:r>
      <w:r w:rsidR="00183568">
        <w:rPr>
          <w:rFonts w:eastAsia="Calibri"/>
          <w:b w:val="0"/>
          <w:bCs w:val="0"/>
          <w:i/>
          <w:kern w:val="0"/>
          <w:sz w:val="24"/>
          <w:szCs w:val="24"/>
          <w:lang w:eastAsia="en-US"/>
        </w:rPr>
        <w:t>.</w:t>
      </w:r>
      <w:r w:rsidRPr="00183568">
        <w:rPr>
          <w:rFonts w:eastAsia="Calibri"/>
          <w:b w:val="0"/>
          <w:bCs w:val="0"/>
          <w:i/>
          <w:kern w:val="0"/>
          <w:sz w:val="24"/>
          <w:szCs w:val="24"/>
          <w:lang w:eastAsia="en-US"/>
        </w:rPr>
        <w:t xml:space="preserve"> Sci</w:t>
      </w:r>
      <w:r w:rsidR="00183568">
        <w:rPr>
          <w:rFonts w:eastAsia="Calibri"/>
          <w:b w:val="0"/>
          <w:bCs w:val="0"/>
          <w:i/>
          <w:kern w:val="0"/>
          <w:sz w:val="24"/>
          <w:szCs w:val="24"/>
          <w:lang w:eastAsia="en-US"/>
        </w:rPr>
        <w:t>.</w:t>
      </w:r>
      <w:r w:rsidRPr="00872783">
        <w:rPr>
          <w:rFonts w:eastAsia="Calibri"/>
          <w:b w:val="0"/>
          <w:bCs w:val="0"/>
          <w:kern w:val="0"/>
          <w:sz w:val="24"/>
          <w:szCs w:val="24"/>
          <w:lang w:eastAsia="en-US"/>
        </w:rPr>
        <w:t>, </w:t>
      </w:r>
      <w:r w:rsidRPr="00183568">
        <w:rPr>
          <w:rFonts w:eastAsia="Calibri"/>
          <w:bCs w:val="0"/>
          <w:kern w:val="0"/>
          <w:sz w:val="24"/>
          <w:szCs w:val="24"/>
          <w:lang w:eastAsia="en-US"/>
        </w:rPr>
        <w:t>60</w:t>
      </w:r>
      <w:r w:rsidRPr="00872783">
        <w:rPr>
          <w:rFonts w:eastAsia="Calibri"/>
          <w:b w:val="0"/>
          <w:bCs w:val="0"/>
          <w:kern w:val="0"/>
          <w:sz w:val="24"/>
          <w:szCs w:val="24"/>
          <w:lang w:eastAsia="en-US"/>
        </w:rPr>
        <w:t>, 109-119.</w:t>
      </w:r>
    </w:p>
    <w:p w:rsidR="00872783" w:rsidRP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 xml:space="preserve">Refsdal, A.O., (1998). Animal health service and reproductive problems in Norwegian cattle. </w:t>
      </w:r>
      <w:r w:rsidRPr="00183568">
        <w:rPr>
          <w:rFonts w:eastAsia="Calibri"/>
          <w:b w:val="0"/>
          <w:bCs w:val="0"/>
          <w:i/>
          <w:kern w:val="0"/>
          <w:sz w:val="24"/>
          <w:szCs w:val="24"/>
          <w:lang w:eastAsia="en-US"/>
        </w:rPr>
        <w:t>Reprod. Domest. Anim.</w:t>
      </w:r>
      <w:r w:rsidRPr="00872783">
        <w:rPr>
          <w:rFonts w:eastAsia="Calibri"/>
          <w:b w:val="0"/>
          <w:bCs w:val="0"/>
          <w:kern w:val="0"/>
          <w:sz w:val="24"/>
          <w:szCs w:val="24"/>
          <w:lang w:eastAsia="en-US"/>
        </w:rPr>
        <w:t xml:space="preserve"> </w:t>
      </w:r>
      <w:r w:rsidRPr="00183568">
        <w:rPr>
          <w:rFonts w:eastAsia="Calibri"/>
          <w:bCs w:val="0"/>
          <w:kern w:val="0"/>
          <w:sz w:val="24"/>
          <w:szCs w:val="24"/>
          <w:lang w:eastAsia="en-US"/>
        </w:rPr>
        <w:t>33</w:t>
      </w:r>
      <w:r w:rsidR="00183568">
        <w:rPr>
          <w:rFonts w:eastAsia="Calibri"/>
          <w:bCs w:val="0"/>
          <w:kern w:val="0"/>
          <w:sz w:val="24"/>
          <w:szCs w:val="24"/>
          <w:lang w:eastAsia="en-US"/>
        </w:rPr>
        <w:t>:</w:t>
      </w:r>
      <w:r w:rsidRPr="00872783">
        <w:rPr>
          <w:rFonts w:eastAsia="Calibri"/>
          <w:b w:val="0"/>
          <w:bCs w:val="0"/>
          <w:kern w:val="0"/>
          <w:sz w:val="24"/>
          <w:szCs w:val="24"/>
          <w:lang w:eastAsia="en-US"/>
        </w:rPr>
        <w:t xml:space="preserve"> 223–226.</w:t>
      </w:r>
    </w:p>
    <w:p w:rsidR="00872783" w:rsidRP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 xml:space="preserve">Larsson, B., Berglund, B., (1999). Reproductive performance in cows with extended calving interval. </w:t>
      </w:r>
      <w:r w:rsidRPr="00183568">
        <w:rPr>
          <w:rFonts w:eastAsia="Calibri"/>
          <w:b w:val="0"/>
          <w:bCs w:val="0"/>
          <w:i/>
          <w:kern w:val="0"/>
          <w:sz w:val="24"/>
          <w:szCs w:val="24"/>
          <w:lang w:eastAsia="en-US"/>
        </w:rPr>
        <w:t>Reprod. Domest. Anim</w:t>
      </w:r>
      <w:r w:rsidRPr="00872783">
        <w:rPr>
          <w:rFonts w:eastAsia="Calibri"/>
          <w:b w:val="0"/>
          <w:bCs w:val="0"/>
          <w:kern w:val="0"/>
          <w:sz w:val="24"/>
          <w:szCs w:val="24"/>
          <w:lang w:eastAsia="en-US"/>
        </w:rPr>
        <w:t>.</w:t>
      </w:r>
      <w:r w:rsidR="001B5DAA">
        <w:rPr>
          <w:rFonts w:eastAsia="Calibri"/>
          <w:b w:val="0"/>
          <w:bCs w:val="0"/>
          <w:kern w:val="0"/>
          <w:sz w:val="24"/>
          <w:szCs w:val="24"/>
          <w:lang w:eastAsia="en-US"/>
        </w:rPr>
        <w:t xml:space="preserve"> </w:t>
      </w:r>
      <w:r w:rsidR="001B5DAA" w:rsidRPr="001B5DAA">
        <w:rPr>
          <w:rFonts w:eastAsia="Calibri"/>
          <w:bCs w:val="0"/>
          <w:kern w:val="0"/>
          <w:sz w:val="24"/>
          <w:szCs w:val="24"/>
          <w:lang w:eastAsia="en-US"/>
        </w:rPr>
        <w:t>35</w:t>
      </w:r>
      <w:r w:rsidR="001B5DAA">
        <w:rPr>
          <w:rFonts w:eastAsia="Calibri"/>
          <w:b w:val="0"/>
          <w:bCs w:val="0"/>
          <w:kern w:val="0"/>
          <w:sz w:val="24"/>
          <w:szCs w:val="24"/>
          <w:lang w:eastAsia="en-US"/>
        </w:rPr>
        <w:t>(5): 277-279.</w:t>
      </w:r>
    </w:p>
    <w:p w:rsidR="00872783" w:rsidRP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 xml:space="preserve">Lange IG, Daxenberger A, Schiffer B, Witters H, Ibarreta D, Meyer HH. (2002). Sex hormones originating from different livestock production systems: fate and potential disrupting activity in the environment. </w:t>
      </w:r>
      <w:r w:rsidRPr="007E73E8">
        <w:rPr>
          <w:rFonts w:eastAsia="Calibri"/>
          <w:b w:val="0"/>
          <w:bCs w:val="0"/>
          <w:i/>
          <w:kern w:val="0"/>
          <w:sz w:val="24"/>
          <w:szCs w:val="24"/>
          <w:lang w:eastAsia="en-US"/>
        </w:rPr>
        <w:t>Anal Chim Acta.</w:t>
      </w:r>
      <w:r w:rsidRPr="00872783">
        <w:rPr>
          <w:rFonts w:eastAsia="Calibri"/>
          <w:b w:val="0"/>
          <w:bCs w:val="0"/>
          <w:kern w:val="0"/>
          <w:sz w:val="24"/>
          <w:szCs w:val="24"/>
          <w:lang w:eastAsia="en-US"/>
        </w:rPr>
        <w:t xml:space="preserve"> </w:t>
      </w:r>
      <w:r w:rsidRPr="007E73E8">
        <w:rPr>
          <w:rFonts w:eastAsia="Calibri"/>
          <w:bCs w:val="0"/>
          <w:kern w:val="0"/>
          <w:sz w:val="24"/>
          <w:szCs w:val="24"/>
          <w:lang w:eastAsia="en-US"/>
        </w:rPr>
        <w:t>473</w:t>
      </w:r>
      <w:r w:rsidRPr="00872783">
        <w:rPr>
          <w:rFonts w:eastAsia="Calibri"/>
          <w:b w:val="0"/>
          <w:bCs w:val="0"/>
          <w:kern w:val="0"/>
          <w:sz w:val="24"/>
          <w:szCs w:val="24"/>
          <w:lang w:eastAsia="en-US"/>
        </w:rPr>
        <w:t>:27–37. </w:t>
      </w:r>
    </w:p>
    <w:p w:rsidR="00872783" w:rsidRP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 xml:space="preserve">Macmillan, K.L., Peterson, A.J., (1993). A new intravaginal progesterone releasing device for cattle CIDR-B for oestrus synchronisation, increasing pregnancy rates and the treatment of post-partum anoestrus. </w:t>
      </w:r>
      <w:r w:rsidRPr="007E73E8">
        <w:rPr>
          <w:rFonts w:eastAsia="Calibri"/>
          <w:b w:val="0"/>
          <w:bCs w:val="0"/>
          <w:i/>
          <w:kern w:val="0"/>
          <w:sz w:val="24"/>
          <w:szCs w:val="24"/>
          <w:lang w:eastAsia="en-US"/>
        </w:rPr>
        <w:t>Anim. Reprod. Sci.</w:t>
      </w:r>
      <w:r w:rsidRPr="00872783">
        <w:rPr>
          <w:rFonts w:eastAsia="Calibri"/>
          <w:b w:val="0"/>
          <w:bCs w:val="0"/>
          <w:kern w:val="0"/>
          <w:sz w:val="24"/>
          <w:szCs w:val="24"/>
          <w:lang w:eastAsia="en-US"/>
        </w:rPr>
        <w:t xml:space="preserve"> </w:t>
      </w:r>
      <w:r w:rsidRPr="007E73E8">
        <w:rPr>
          <w:rFonts w:eastAsia="Calibri"/>
          <w:bCs w:val="0"/>
          <w:kern w:val="0"/>
          <w:sz w:val="24"/>
          <w:szCs w:val="24"/>
          <w:lang w:eastAsia="en-US"/>
        </w:rPr>
        <w:t>33</w:t>
      </w:r>
      <w:r w:rsidR="007E73E8">
        <w:rPr>
          <w:rFonts w:eastAsia="Calibri"/>
          <w:bCs w:val="0"/>
          <w:kern w:val="0"/>
          <w:sz w:val="24"/>
          <w:szCs w:val="24"/>
          <w:lang w:eastAsia="en-US"/>
        </w:rPr>
        <w:t>:</w:t>
      </w:r>
      <w:r w:rsidRPr="00872783">
        <w:rPr>
          <w:rFonts w:eastAsia="Calibri"/>
          <w:b w:val="0"/>
          <w:bCs w:val="0"/>
          <w:kern w:val="0"/>
          <w:sz w:val="24"/>
          <w:szCs w:val="24"/>
          <w:lang w:eastAsia="en-US"/>
        </w:rPr>
        <w:t xml:space="preserve"> 1–25.</w:t>
      </w:r>
    </w:p>
    <w:p w:rsidR="00872783" w:rsidRP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Manocha, A., Kankra, M., Singla, P., Sharma, A., Ahirwar, A. K., &amp; Bhargava, S. (2018). Clinical significance of reproductive hormones. </w:t>
      </w:r>
      <w:r w:rsidRPr="007E73E8">
        <w:rPr>
          <w:rFonts w:eastAsia="Calibri"/>
          <w:b w:val="0"/>
          <w:bCs w:val="0"/>
          <w:i/>
          <w:kern w:val="0"/>
          <w:sz w:val="24"/>
          <w:szCs w:val="24"/>
          <w:lang w:eastAsia="en-US"/>
        </w:rPr>
        <w:t>Current Med</w:t>
      </w:r>
      <w:r w:rsidR="007E73E8">
        <w:rPr>
          <w:rFonts w:eastAsia="Calibri"/>
          <w:b w:val="0"/>
          <w:bCs w:val="0"/>
          <w:i/>
          <w:kern w:val="0"/>
          <w:sz w:val="24"/>
          <w:szCs w:val="24"/>
          <w:lang w:eastAsia="en-US"/>
        </w:rPr>
        <w:t>.</w:t>
      </w:r>
      <w:r w:rsidRPr="007E73E8">
        <w:rPr>
          <w:rFonts w:eastAsia="Calibri"/>
          <w:b w:val="0"/>
          <w:bCs w:val="0"/>
          <w:i/>
          <w:kern w:val="0"/>
          <w:sz w:val="24"/>
          <w:szCs w:val="24"/>
          <w:lang w:eastAsia="en-US"/>
        </w:rPr>
        <w:t xml:space="preserve"> Res</w:t>
      </w:r>
      <w:r w:rsidR="007E73E8">
        <w:rPr>
          <w:rFonts w:eastAsia="Calibri"/>
          <w:b w:val="0"/>
          <w:bCs w:val="0"/>
          <w:i/>
          <w:kern w:val="0"/>
          <w:sz w:val="24"/>
          <w:szCs w:val="24"/>
          <w:lang w:eastAsia="en-US"/>
        </w:rPr>
        <w:t>.</w:t>
      </w:r>
      <w:r w:rsidRPr="007E73E8">
        <w:rPr>
          <w:rFonts w:eastAsia="Calibri"/>
          <w:b w:val="0"/>
          <w:bCs w:val="0"/>
          <w:i/>
          <w:kern w:val="0"/>
          <w:sz w:val="24"/>
          <w:szCs w:val="24"/>
          <w:lang w:eastAsia="en-US"/>
        </w:rPr>
        <w:t xml:space="preserve"> and Prac</w:t>
      </w:r>
      <w:r w:rsidR="007E73E8">
        <w:rPr>
          <w:rFonts w:eastAsia="Calibri"/>
          <w:b w:val="0"/>
          <w:bCs w:val="0"/>
          <w:i/>
          <w:kern w:val="0"/>
          <w:sz w:val="24"/>
          <w:szCs w:val="24"/>
          <w:lang w:eastAsia="en-US"/>
        </w:rPr>
        <w:t>.</w:t>
      </w:r>
      <w:r w:rsidRPr="00872783">
        <w:rPr>
          <w:rFonts w:eastAsia="Calibri"/>
          <w:b w:val="0"/>
          <w:bCs w:val="0"/>
          <w:kern w:val="0"/>
          <w:sz w:val="24"/>
          <w:szCs w:val="24"/>
          <w:lang w:eastAsia="en-US"/>
        </w:rPr>
        <w:t>, </w:t>
      </w:r>
      <w:r w:rsidRPr="007E73E8">
        <w:rPr>
          <w:rFonts w:eastAsia="Calibri"/>
          <w:bCs w:val="0"/>
          <w:kern w:val="0"/>
          <w:sz w:val="24"/>
          <w:szCs w:val="24"/>
          <w:lang w:eastAsia="en-US"/>
        </w:rPr>
        <w:t>8</w:t>
      </w:r>
      <w:r w:rsidRPr="00872783">
        <w:rPr>
          <w:rFonts w:eastAsia="Calibri"/>
          <w:b w:val="0"/>
          <w:bCs w:val="0"/>
          <w:kern w:val="0"/>
          <w:sz w:val="24"/>
          <w:szCs w:val="24"/>
          <w:lang w:eastAsia="en-US"/>
        </w:rPr>
        <w:t>(3), 100-108.</w:t>
      </w:r>
    </w:p>
    <w:p w:rsidR="00872783" w:rsidRP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Martyniuk, C.J., Mehinto, A.C., Denslow, N.D., (2020). Organochlorine pesticides: agrochemicals with potent endocrine-disrupting properties in fish</w:t>
      </w:r>
      <w:r w:rsidRPr="007E73E8">
        <w:rPr>
          <w:rFonts w:eastAsia="Calibri"/>
          <w:b w:val="0"/>
          <w:bCs w:val="0"/>
          <w:i/>
          <w:kern w:val="0"/>
          <w:sz w:val="24"/>
          <w:szCs w:val="24"/>
          <w:lang w:eastAsia="en-US"/>
        </w:rPr>
        <w:t>. Mol. Cell. Endocrinol</w:t>
      </w:r>
      <w:r w:rsidRPr="00872783">
        <w:rPr>
          <w:rFonts w:eastAsia="Calibri"/>
          <w:b w:val="0"/>
          <w:bCs w:val="0"/>
          <w:kern w:val="0"/>
          <w:sz w:val="24"/>
          <w:szCs w:val="24"/>
          <w:lang w:eastAsia="en-US"/>
        </w:rPr>
        <w:t xml:space="preserve">. </w:t>
      </w:r>
      <w:r w:rsidRPr="007E73E8">
        <w:rPr>
          <w:rFonts w:eastAsia="Calibri"/>
          <w:bCs w:val="0"/>
          <w:kern w:val="0"/>
          <w:sz w:val="24"/>
          <w:szCs w:val="24"/>
          <w:lang w:eastAsia="en-US"/>
        </w:rPr>
        <w:t>507</w:t>
      </w:r>
      <w:r w:rsidR="007E73E8">
        <w:rPr>
          <w:rFonts w:eastAsia="Calibri"/>
          <w:b w:val="0"/>
          <w:bCs w:val="0"/>
          <w:kern w:val="0"/>
          <w:sz w:val="24"/>
          <w:szCs w:val="24"/>
          <w:lang w:eastAsia="en-US"/>
        </w:rPr>
        <w:t xml:space="preserve">: </w:t>
      </w:r>
      <w:r w:rsidRPr="00872783">
        <w:rPr>
          <w:rFonts w:eastAsia="Calibri"/>
          <w:b w:val="0"/>
          <w:bCs w:val="0"/>
          <w:kern w:val="0"/>
          <w:sz w:val="24"/>
          <w:szCs w:val="24"/>
          <w:lang w:eastAsia="en-US"/>
        </w:rPr>
        <w:t>110764.</w:t>
      </w:r>
    </w:p>
    <w:p w:rsidR="00872783" w:rsidRP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Miller L, Hunt JS. (1996). Sex Steroid Hormones and Macrophage Function. </w:t>
      </w:r>
      <w:r w:rsidRPr="007E73E8">
        <w:rPr>
          <w:rFonts w:eastAsia="Calibri"/>
          <w:b w:val="0"/>
          <w:bCs w:val="0"/>
          <w:i/>
          <w:kern w:val="0"/>
          <w:sz w:val="24"/>
          <w:szCs w:val="24"/>
          <w:lang w:eastAsia="en-US"/>
        </w:rPr>
        <w:t>Life Sci</w:t>
      </w:r>
      <w:r w:rsidRPr="00872783">
        <w:rPr>
          <w:rFonts w:eastAsia="Calibri"/>
          <w:b w:val="0"/>
          <w:bCs w:val="0"/>
          <w:kern w:val="0"/>
          <w:sz w:val="24"/>
          <w:szCs w:val="24"/>
          <w:lang w:eastAsia="en-US"/>
        </w:rPr>
        <w:t> </w:t>
      </w:r>
      <w:r w:rsidRPr="007E73E8">
        <w:rPr>
          <w:rFonts w:eastAsia="Calibri"/>
          <w:bCs w:val="0"/>
          <w:kern w:val="0"/>
          <w:sz w:val="24"/>
          <w:szCs w:val="24"/>
          <w:lang w:eastAsia="en-US"/>
        </w:rPr>
        <w:t>59</w:t>
      </w:r>
      <w:r w:rsidRPr="00872783">
        <w:rPr>
          <w:rFonts w:eastAsia="Calibri"/>
          <w:b w:val="0"/>
          <w:bCs w:val="0"/>
          <w:kern w:val="0"/>
          <w:sz w:val="24"/>
          <w:szCs w:val="24"/>
          <w:lang w:eastAsia="en-US"/>
        </w:rPr>
        <w:t>:1–14.</w:t>
      </w:r>
    </w:p>
    <w:p w:rsidR="00872783" w:rsidRP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 xml:space="preserve">Patterson, D. J., Schafer, D. J., &amp; Smith, M. F. (2005). Review of estrus synchronization systems: MGA. Proceedings, </w:t>
      </w:r>
      <w:r w:rsidRPr="001B5DAA">
        <w:rPr>
          <w:rFonts w:eastAsia="Calibri"/>
          <w:b w:val="0"/>
          <w:bCs w:val="0"/>
          <w:kern w:val="0"/>
          <w:sz w:val="24"/>
          <w:szCs w:val="24"/>
          <w:lang w:eastAsia="en-US"/>
        </w:rPr>
        <w:t>App</w:t>
      </w:r>
      <w:r w:rsidR="00935E0E" w:rsidRPr="001B5DAA">
        <w:rPr>
          <w:rFonts w:eastAsia="Calibri"/>
          <w:b w:val="0"/>
          <w:bCs w:val="0"/>
          <w:kern w:val="0"/>
          <w:sz w:val="24"/>
          <w:szCs w:val="24"/>
          <w:lang w:eastAsia="en-US"/>
        </w:rPr>
        <w:t>.</w:t>
      </w:r>
      <w:r w:rsidRPr="001B5DAA">
        <w:rPr>
          <w:rFonts w:eastAsia="Calibri"/>
          <w:b w:val="0"/>
          <w:bCs w:val="0"/>
          <w:kern w:val="0"/>
          <w:sz w:val="24"/>
          <w:szCs w:val="24"/>
          <w:lang w:eastAsia="en-US"/>
        </w:rPr>
        <w:t xml:space="preserve"> Repro</w:t>
      </w:r>
      <w:r w:rsidR="00935E0E" w:rsidRPr="001B5DAA">
        <w:rPr>
          <w:rFonts w:eastAsia="Calibri"/>
          <w:b w:val="0"/>
          <w:bCs w:val="0"/>
          <w:kern w:val="0"/>
          <w:sz w:val="24"/>
          <w:szCs w:val="24"/>
          <w:lang w:eastAsia="en-US"/>
        </w:rPr>
        <w:t>.</w:t>
      </w:r>
      <w:r w:rsidRPr="001B5DAA">
        <w:rPr>
          <w:rFonts w:eastAsia="Calibri"/>
          <w:b w:val="0"/>
          <w:bCs w:val="0"/>
          <w:kern w:val="0"/>
          <w:sz w:val="24"/>
          <w:szCs w:val="24"/>
          <w:lang w:eastAsia="en-US"/>
        </w:rPr>
        <w:t xml:space="preserve"> Strat</w:t>
      </w:r>
      <w:r w:rsidR="00935E0E" w:rsidRPr="001B5DAA">
        <w:rPr>
          <w:rFonts w:eastAsia="Calibri"/>
          <w:b w:val="0"/>
          <w:bCs w:val="0"/>
          <w:kern w:val="0"/>
          <w:sz w:val="24"/>
          <w:szCs w:val="24"/>
          <w:lang w:eastAsia="en-US"/>
        </w:rPr>
        <w:t>.</w:t>
      </w:r>
      <w:r w:rsidRPr="001B5DAA">
        <w:rPr>
          <w:rFonts w:eastAsia="Calibri"/>
          <w:b w:val="0"/>
          <w:bCs w:val="0"/>
          <w:kern w:val="0"/>
          <w:sz w:val="24"/>
          <w:szCs w:val="24"/>
          <w:lang w:eastAsia="en-US"/>
        </w:rPr>
        <w:t xml:space="preserve"> in Beef Cattle</w:t>
      </w:r>
      <w:r w:rsidR="001B5DAA" w:rsidRPr="001B5DAA">
        <w:rPr>
          <w:rFonts w:eastAsia="Calibri"/>
          <w:b w:val="0"/>
          <w:bCs w:val="0"/>
          <w:kern w:val="0"/>
          <w:sz w:val="24"/>
          <w:szCs w:val="24"/>
          <w:lang w:eastAsia="en-US"/>
        </w:rPr>
        <w:t>,</w:t>
      </w:r>
      <w:r w:rsidR="001B5DAA">
        <w:rPr>
          <w:rFonts w:eastAsia="Calibri"/>
          <w:b w:val="0"/>
          <w:bCs w:val="0"/>
          <w:kern w:val="0"/>
          <w:sz w:val="24"/>
          <w:szCs w:val="24"/>
          <w:lang w:eastAsia="en-US"/>
        </w:rPr>
        <w:t> </w:t>
      </w:r>
      <w:r w:rsidR="001B5DAA" w:rsidRPr="001B5DAA">
        <w:rPr>
          <w:rFonts w:eastAsia="Calibri"/>
          <w:bCs w:val="0"/>
          <w:kern w:val="0"/>
          <w:sz w:val="24"/>
          <w:szCs w:val="24"/>
          <w:lang w:eastAsia="en-US"/>
        </w:rPr>
        <w:t>12</w:t>
      </w:r>
      <w:r w:rsidR="001B5DAA">
        <w:rPr>
          <w:rFonts w:eastAsia="Calibri"/>
          <w:b w:val="0"/>
          <w:bCs w:val="0"/>
          <w:kern w:val="0"/>
          <w:sz w:val="24"/>
          <w:szCs w:val="24"/>
          <w:lang w:eastAsia="en-US"/>
        </w:rPr>
        <w:t>: 60-150.</w:t>
      </w:r>
    </w:p>
    <w:p w:rsidR="00872783" w:rsidRP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 xml:space="preserve">Roche, J.F., (1979). Control of oestrus in cattle. </w:t>
      </w:r>
      <w:r w:rsidRPr="00935E0E">
        <w:rPr>
          <w:rFonts w:eastAsia="Calibri"/>
          <w:b w:val="0"/>
          <w:bCs w:val="0"/>
          <w:i/>
          <w:kern w:val="0"/>
          <w:sz w:val="24"/>
          <w:szCs w:val="24"/>
          <w:lang w:eastAsia="en-US"/>
        </w:rPr>
        <w:t>World Rev. Anim. Prod</w:t>
      </w:r>
      <w:r w:rsidRPr="00872783">
        <w:rPr>
          <w:rFonts w:eastAsia="Calibri"/>
          <w:b w:val="0"/>
          <w:bCs w:val="0"/>
          <w:kern w:val="0"/>
          <w:sz w:val="24"/>
          <w:szCs w:val="24"/>
          <w:lang w:eastAsia="en-US"/>
        </w:rPr>
        <w:t xml:space="preserve">. </w:t>
      </w:r>
      <w:r w:rsidRPr="00935E0E">
        <w:rPr>
          <w:rFonts w:eastAsia="Calibri"/>
          <w:bCs w:val="0"/>
          <w:kern w:val="0"/>
          <w:sz w:val="24"/>
          <w:szCs w:val="24"/>
          <w:lang w:eastAsia="en-US"/>
        </w:rPr>
        <w:t>15</w:t>
      </w:r>
      <w:r w:rsidR="00935E0E">
        <w:rPr>
          <w:rFonts w:eastAsia="Calibri"/>
          <w:bCs w:val="0"/>
          <w:kern w:val="0"/>
          <w:sz w:val="24"/>
          <w:szCs w:val="24"/>
          <w:lang w:eastAsia="en-US"/>
        </w:rPr>
        <w:t>:</w:t>
      </w:r>
      <w:r w:rsidRPr="00872783">
        <w:rPr>
          <w:rFonts w:eastAsia="Calibri"/>
          <w:b w:val="0"/>
          <w:bCs w:val="0"/>
          <w:kern w:val="0"/>
          <w:sz w:val="24"/>
          <w:szCs w:val="24"/>
          <w:lang w:eastAsia="en-US"/>
        </w:rPr>
        <w:t xml:space="preserve"> 49–76.</w:t>
      </w:r>
    </w:p>
    <w:p w:rsidR="00872783" w:rsidRP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Hafez, E. S. E., &amp; Hafez, B. (Eds.). (2013). Reproduction in fa</w:t>
      </w:r>
      <w:r w:rsidR="00206E4B">
        <w:rPr>
          <w:rFonts w:eastAsia="Calibri"/>
          <w:b w:val="0"/>
          <w:bCs w:val="0"/>
          <w:kern w:val="0"/>
          <w:sz w:val="24"/>
          <w:szCs w:val="24"/>
          <w:lang w:eastAsia="en-US"/>
        </w:rPr>
        <w:t>rm animals. John Wiley &amp; Sons. p.</w:t>
      </w:r>
      <w:r w:rsidRPr="00872783">
        <w:rPr>
          <w:rFonts w:eastAsia="Calibri"/>
          <w:b w:val="0"/>
          <w:bCs w:val="0"/>
          <w:kern w:val="0"/>
          <w:sz w:val="24"/>
          <w:szCs w:val="24"/>
          <w:lang w:eastAsia="en-US"/>
        </w:rPr>
        <w:t xml:space="preserve"> 33-53</w:t>
      </w:r>
    </w:p>
    <w:p w:rsidR="00872783" w:rsidRP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lastRenderedPageBreak/>
        <w:t xml:space="preserve">Sangsritavong S, Combs D, Sartori R, Armentano L, Wiltbank M. (2002). High feed intake increases liver blood flow and metabolism of progesterone and estradiol-17β in dairy cattle. </w:t>
      </w:r>
      <w:r w:rsidRPr="00935E0E">
        <w:rPr>
          <w:rFonts w:eastAsia="Calibri"/>
          <w:b w:val="0"/>
          <w:bCs w:val="0"/>
          <w:i/>
          <w:kern w:val="0"/>
          <w:sz w:val="24"/>
          <w:szCs w:val="24"/>
          <w:lang w:eastAsia="en-US"/>
        </w:rPr>
        <w:t>J Dairy Sci.</w:t>
      </w:r>
      <w:r w:rsidRPr="00872783">
        <w:rPr>
          <w:rFonts w:eastAsia="Calibri"/>
          <w:b w:val="0"/>
          <w:bCs w:val="0"/>
          <w:kern w:val="0"/>
          <w:sz w:val="24"/>
          <w:szCs w:val="24"/>
          <w:lang w:eastAsia="en-US"/>
        </w:rPr>
        <w:t xml:space="preserve"> </w:t>
      </w:r>
      <w:r w:rsidRPr="00935E0E">
        <w:rPr>
          <w:rFonts w:eastAsia="Calibri"/>
          <w:bCs w:val="0"/>
          <w:kern w:val="0"/>
          <w:sz w:val="24"/>
          <w:szCs w:val="24"/>
          <w:lang w:eastAsia="en-US"/>
        </w:rPr>
        <w:t>85</w:t>
      </w:r>
      <w:r w:rsidRPr="00872783">
        <w:rPr>
          <w:rFonts w:eastAsia="Calibri"/>
          <w:b w:val="0"/>
          <w:bCs w:val="0"/>
          <w:kern w:val="0"/>
          <w:sz w:val="24"/>
          <w:szCs w:val="24"/>
          <w:lang w:eastAsia="en-US"/>
        </w:rPr>
        <w:t>:</w:t>
      </w:r>
      <w:r w:rsidR="00206E4B">
        <w:rPr>
          <w:rFonts w:eastAsia="Calibri"/>
          <w:b w:val="0"/>
          <w:bCs w:val="0"/>
          <w:kern w:val="0"/>
          <w:sz w:val="24"/>
          <w:szCs w:val="24"/>
          <w:lang w:eastAsia="en-US"/>
        </w:rPr>
        <w:t xml:space="preserve"> </w:t>
      </w:r>
      <w:r w:rsidRPr="00872783">
        <w:rPr>
          <w:rFonts w:eastAsia="Calibri"/>
          <w:b w:val="0"/>
          <w:bCs w:val="0"/>
          <w:kern w:val="0"/>
          <w:sz w:val="24"/>
          <w:szCs w:val="24"/>
          <w:lang w:eastAsia="en-US"/>
        </w:rPr>
        <w:t>2831–2842.</w:t>
      </w:r>
    </w:p>
    <w:p w:rsidR="00872783" w:rsidRP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 xml:space="preserve">Segner, H., (2009). Zebrafish (Danio rerio) as a model organism for investigating endocrine disruption. Compar. Biochem. </w:t>
      </w:r>
      <w:r w:rsidRPr="00D21F9C">
        <w:rPr>
          <w:rFonts w:eastAsia="Calibri"/>
          <w:b w:val="0"/>
          <w:bCs w:val="0"/>
          <w:kern w:val="0"/>
          <w:sz w:val="24"/>
          <w:szCs w:val="24"/>
          <w:lang w:eastAsia="en-US"/>
        </w:rPr>
        <w:t>Physiol. Pt. C Toxicol. Pharmacol</w:t>
      </w:r>
      <w:r w:rsidRPr="00872783">
        <w:rPr>
          <w:rFonts w:eastAsia="Calibri"/>
          <w:b w:val="0"/>
          <w:bCs w:val="0"/>
          <w:kern w:val="0"/>
          <w:sz w:val="24"/>
          <w:szCs w:val="24"/>
          <w:lang w:eastAsia="en-US"/>
        </w:rPr>
        <w:t xml:space="preserve">. </w:t>
      </w:r>
      <w:r w:rsidRPr="00935E0E">
        <w:rPr>
          <w:rFonts w:eastAsia="Calibri"/>
          <w:bCs w:val="0"/>
          <w:kern w:val="0"/>
          <w:sz w:val="24"/>
          <w:szCs w:val="24"/>
          <w:lang w:eastAsia="en-US"/>
        </w:rPr>
        <w:t>149</w:t>
      </w:r>
      <w:r w:rsidR="00935E0E">
        <w:rPr>
          <w:rFonts w:eastAsia="Calibri"/>
          <w:b w:val="0"/>
          <w:bCs w:val="0"/>
          <w:kern w:val="0"/>
          <w:sz w:val="24"/>
          <w:szCs w:val="24"/>
          <w:lang w:eastAsia="en-US"/>
        </w:rPr>
        <w:t>:</w:t>
      </w:r>
      <w:r w:rsidRPr="00872783">
        <w:rPr>
          <w:rFonts w:eastAsia="Calibri"/>
          <w:b w:val="0"/>
          <w:bCs w:val="0"/>
          <w:kern w:val="0"/>
          <w:sz w:val="24"/>
          <w:szCs w:val="24"/>
          <w:lang w:eastAsia="en-US"/>
        </w:rPr>
        <w:t xml:space="preserve"> 187–195.</w:t>
      </w:r>
    </w:p>
    <w:p w:rsidR="00872783" w:rsidRP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 xml:space="preserve">Schiffer B, Daxenberger A, Meyer K, Meyer H. (2001). The fate of trenbolone acetate and melengestrol acetate after application as growth promoters in cattle: environmental studies. </w:t>
      </w:r>
      <w:r w:rsidRPr="00D21F9C">
        <w:rPr>
          <w:rFonts w:eastAsia="Calibri"/>
          <w:b w:val="0"/>
          <w:bCs w:val="0"/>
          <w:i/>
          <w:kern w:val="0"/>
          <w:sz w:val="24"/>
          <w:szCs w:val="24"/>
          <w:lang w:eastAsia="en-US"/>
        </w:rPr>
        <w:t>Environ Health Perspect</w:t>
      </w:r>
      <w:r w:rsidRPr="00872783">
        <w:rPr>
          <w:rFonts w:eastAsia="Calibri"/>
          <w:b w:val="0"/>
          <w:bCs w:val="0"/>
          <w:kern w:val="0"/>
          <w:sz w:val="24"/>
          <w:szCs w:val="24"/>
          <w:lang w:eastAsia="en-US"/>
        </w:rPr>
        <w:t xml:space="preserve">. </w:t>
      </w:r>
      <w:r w:rsidRPr="00D21F9C">
        <w:rPr>
          <w:rFonts w:eastAsia="Calibri"/>
          <w:bCs w:val="0"/>
          <w:kern w:val="0"/>
          <w:sz w:val="24"/>
          <w:szCs w:val="24"/>
          <w:lang w:eastAsia="en-US"/>
        </w:rPr>
        <w:t>109</w:t>
      </w:r>
      <w:r w:rsidRPr="00872783">
        <w:rPr>
          <w:rFonts w:eastAsia="Calibri"/>
          <w:b w:val="0"/>
          <w:bCs w:val="0"/>
          <w:kern w:val="0"/>
          <w:sz w:val="24"/>
          <w:szCs w:val="24"/>
          <w:lang w:eastAsia="en-US"/>
        </w:rPr>
        <w:t>:</w:t>
      </w:r>
      <w:r w:rsidR="00206E4B">
        <w:rPr>
          <w:rFonts w:eastAsia="Calibri"/>
          <w:b w:val="0"/>
          <w:bCs w:val="0"/>
          <w:kern w:val="0"/>
          <w:sz w:val="24"/>
          <w:szCs w:val="24"/>
          <w:lang w:eastAsia="en-US"/>
        </w:rPr>
        <w:t xml:space="preserve"> </w:t>
      </w:r>
      <w:r w:rsidRPr="00872783">
        <w:rPr>
          <w:rFonts w:eastAsia="Calibri"/>
          <w:b w:val="0"/>
          <w:bCs w:val="0"/>
          <w:kern w:val="0"/>
          <w:sz w:val="24"/>
          <w:szCs w:val="24"/>
          <w:lang w:eastAsia="en-US"/>
        </w:rPr>
        <w:t>1145–1151.</w:t>
      </w:r>
    </w:p>
    <w:p w:rsidR="00872783" w:rsidRP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 xml:space="preserve">Sheldon, I.M., Dobson, H., (1993). Effects of gonadotrophin releasing hormone administered 11 days after insemination on the pregnancy rates of cattle to first and later services. </w:t>
      </w:r>
      <w:r w:rsidRPr="00D21F9C">
        <w:rPr>
          <w:rFonts w:eastAsia="Calibri"/>
          <w:b w:val="0"/>
          <w:bCs w:val="0"/>
          <w:i/>
          <w:kern w:val="0"/>
          <w:sz w:val="24"/>
          <w:szCs w:val="24"/>
          <w:lang w:eastAsia="en-US"/>
        </w:rPr>
        <w:t>Vet. Rec</w:t>
      </w:r>
      <w:r w:rsidRPr="00872783">
        <w:rPr>
          <w:rFonts w:eastAsia="Calibri"/>
          <w:b w:val="0"/>
          <w:bCs w:val="0"/>
          <w:kern w:val="0"/>
          <w:sz w:val="24"/>
          <w:szCs w:val="24"/>
          <w:lang w:eastAsia="en-US"/>
        </w:rPr>
        <w:t xml:space="preserve">. </w:t>
      </w:r>
      <w:r w:rsidRPr="00D21F9C">
        <w:rPr>
          <w:rFonts w:eastAsia="Calibri"/>
          <w:bCs w:val="0"/>
          <w:kern w:val="0"/>
          <w:sz w:val="24"/>
          <w:szCs w:val="24"/>
          <w:lang w:eastAsia="en-US"/>
        </w:rPr>
        <w:t>133</w:t>
      </w:r>
      <w:r w:rsidR="00D21F9C">
        <w:rPr>
          <w:rFonts w:eastAsia="Calibri"/>
          <w:b w:val="0"/>
          <w:bCs w:val="0"/>
          <w:kern w:val="0"/>
          <w:sz w:val="24"/>
          <w:szCs w:val="24"/>
          <w:lang w:eastAsia="en-US"/>
        </w:rPr>
        <w:t>:</w:t>
      </w:r>
      <w:r w:rsidRPr="00872783">
        <w:rPr>
          <w:rFonts w:eastAsia="Calibri"/>
          <w:b w:val="0"/>
          <w:bCs w:val="0"/>
          <w:kern w:val="0"/>
          <w:sz w:val="24"/>
          <w:szCs w:val="24"/>
          <w:lang w:eastAsia="en-US"/>
        </w:rPr>
        <w:t xml:space="preserve"> 160–163. </w:t>
      </w:r>
    </w:p>
    <w:p w:rsidR="00872783" w:rsidRP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 xml:space="preserve">Sreenan, J.M., Diskin, M.G., (1983). Early embryonic mortality in the cow: its relationship with progesterone concentration. </w:t>
      </w:r>
      <w:r w:rsidRPr="00D21F9C">
        <w:rPr>
          <w:rFonts w:eastAsia="Calibri"/>
          <w:b w:val="0"/>
          <w:bCs w:val="0"/>
          <w:i/>
          <w:kern w:val="0"/>
          <w:sz w:val="24"/>
          <w:szCs w:val="24"/>
          <w:lang w:eastAsia="en-US"/>
        </w:rPr>
        <w:t>Vet. Rec</w:t>
      </w:r>
      <w:r w:rsidR="00D21F9C">
        <w:rPr>
          <w:rFonts w:eastAsia="Calibri"/>
          <w:b w:val="0"/>
          <w:bCs w:val="0"/>
          <w:kern w:val="0"/>
          <w:sz w:val="24"/>
          <w:szCs w:val="24"/>
          <w:lang w:eastAsia="en-US"/>
        </w:rPr>
        <w:t xml:space="preserve">. </w:t>
      </w:r>
      <w:r w:rsidR="00D21F9C" w:rsidRPr="00D21F9C">
        <w:rPr>
          <w:rFonts w:eastAsia="Calibri"/>
          <w:bCs w:val="0"/>
          <w:kern w:val="0"/>
          <w:sz w:val="24"/>
          <w:szCs w:val="24"/>
          <w:lang w:eastAsia="en-US"/>
        </w:rPr>
        <w:t>112</w:t>
      </w:r>
      <w:r w:rsidR="00D21F9C">
        <w:rPr>
          <w:rFonts w:eastAsia="Calibri"/>
          <w:b w:val="0"/>
          <w:bCs w:val="0"/>
          <w:kern w:val="0"/>
          <w:sz w:val="24"/>
          <w:szCs w:val="24"/>
          <w:lang w:eastAsia="en-US"/>
        </w:rPr>
        <w:t>:</w:t>
      </w:r>
      <w:r w:rsidRPr="00872783">
        <w:rPr>
          <w:rFonts w:eastAsia="Calibri"/>
          <w:b w:val="0"/>
          <w:bCs w:val="0"/>
          <w:kern w:val="0"/>
          <w:sz w:val="24"/>
          <w:szCs w:val="24"/>
          <w:lang w:eastAsia="en-US"/>
        </w:rPr>
        <w:t xml:space="preserve"> 517–521.</w:t>
      </w:r>
    </w:p>
    <w:p w:rsidR="00872783" w:rsidRP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Van den Belt, K., Wester, P.W., van der Ven, L.T.M., Verheyen, R., Witters, H., (2002). Effects of ethynylestradiol on the reproductive physiology in zebrafish (Danio rerio): time dependency and reversibil</w:t>
      </w:r>
      <w:r w:rsidR="00D21F9C">
        <w:rPr>
          <w:rFonts w:eastAsia="Calibri"/>
          <w:b w:val="0"/>
          <w:bCs w:val="0"/>
          <w:kern w:val="0"/>
          <w:sz w:val="24"/>
          <w:szCs w:val="24"/>
          <w:lang w:eastAsia="en-US"/>
        </w:rPr>
        <w:t>ity</w:t>
      </w:r>
      <w:r w:rsidR="00D21F9C" w:rsidRPr="00D21F9C">
        <w:rPr>
          <w:rFonts w:eastAsia="Calibri"/>
          <w:b w:val="0"/>
          <w:bCs w:val="0"/>
          <w:i/>
          <w:kern w:val="0"/>
          <w:sz w:val="24"/>
          <w:szCs w:val="24"/>
          <w:lang w:eastAsia="en-US"/>
        </w:rPr>
        <w:t>. Environ. Toxicol. Chem</w:t>
      </w:r>
      <w:r w:rsidR="00D21F9C">
        <w:rPr>
          <w:rFonts w:eastAsia="Calibri"/>
          <w:b w:val="0"/>
          <w:bCs w:val="0"/>
          <w:kern w:val="0"/>
          <w:sz w:val="24"/>
          <w:szCs w:val="24"/>
          <w:lang w:eastAsia="en-US"/>
        </w:rPr>
        <w:t xml:space="preserve">. </w:t>
      </w:r>
      <w:r w:rsidR="00D21F9C" w:rsidRPr="00D21F9C">
        <w:rPr>
          <w:rFonts w:eastAsia="Calibri"/>
          <w:bCs w:val="0"/>
          <w:kern w:val="0"/>
          <w:sz w:val="24"/>
          <w:szCs w:val="24"/>
          <w:lang w:eastAsia="en-US"/>
        </w:rPr>
        <w:t>21</w:t>
      </w:r>
      <w:r w:rsidR="00D21F9C">
        <w:rPr>
          <w:rFonts w:eastAsia="Calibri"/>
          <w:b w:val="0"/>
          <w:bCs w:val="0"/>
          <w:kern w:val="0"/>
          <w:sz w:val="24"/>
          <w:szCs w:val="24"/>
          <w:lang w:eastAsia="en-US"/>
        </w:rPr>
        <w:t>:</w:t>
      </w:r>
      <w:r w:rsidRPr="00872783">
        <w:rPr>
          <w:rFonts w:eastAsia="Calibri"/>
          <w:b w:val="0"/>
          <w:bCs w:val="0"/>
          <w:kern w:val="0"/>
          <w:sz w:val="24"/>
          <w:szCs w:val="24"/>
          <w:lang w:eastAsia="en-US"/>
        </w:rPr>
        <w:t xml:space="preserve"> 767–775</w:t>
      </w:r>
    </w:p>
    <w:p w:rsidR="00872783" w:rsidRP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 xml:space="preserve">Weil PA, </w:t>
      </w:r>
      <w:r w:rsidR="00D340F0" w:rsidRPr="00D340F0">
        <w:rPr>
          <w:rFonts w:eastAsia="Calibri"/>
          <w:b w:val="0"/>
          <w:bCs w:val="0"/>
          <w:i/>
          <w:kern w:val="0"/>
          <w:sz w:val="24"/>
          <w:szCs w:val="24"/>
          <w:lang w:eastAsia="en-US"/>
        </w:rPr>
        <w:t>et</w:t>
      </w:r>
      <w:r w:rsidR="007D6FB5">
        <w:rPr>
          <w:rFonts w:eastAsia="Calibri"/>
          <w:b w:val="0"/>
          <w:bCs w:val="0"/>
          <w:i/>
          <w:kern w:val="0"/>
          <w:sz w:val="24"/>
          <w:szCs w:val="24"/>
          <w:lang w:eastAsia="en-US"/>
        </w:rPr>
        <w:t xml:space="preserve"> al</w:t>
      </w:r>
      <w:r w:rsidRPr="00872783">
        <w:rPr>
          <w:rFonts w:eastAsia="Calibri"/>
          <w:b w:val="0"/>
          <w:bCs w:val="0"/>
          <w:kern w:val="0"/>
          <w:sz w:val="24"/>
          <w:szCs w:val="24"/>
          <w:lang w:eastAsia="en-US"/>
        </w:rPr>
        <w:t>., (2015)</w:t>
      </w:r>
      <w:r w:rsidR="00D21F9C">
        <w:rPr>
          <w:rFonts w:eastAsia="Calibri"/>
          <w:b w:val="0"/>
          <w:bCs w:val="0"/>
          <w:kern w:val="0"/>
          <w:sz w:val="24"/>
          <w:szCs w:val="24"/>
          <w:lang w:eastAsia="en-US"/>
        </w:rPr>
        <w:t>.</w:t>
      </w:r>
      <w:r w:rsidRPr="00872783">
        <w:rPr>
          <w:rFonts w:eastAsia="Calibri"/>
          <w:b w:val="0"/>
          <w:bCs w:val="0"/>
          <w:kern w:val="0"/>
          <w:sz w:val="24"/>
          <w:szCs w:val="24"/>
          <w:lang w:eastAsia="en-US"/>
        </w:rPr>
        <w:t xml:space="preserve"> The diversity of the endocrine system. In: Rodwell, ed. Harper’s illustrated biochemistry. 30th ed. McGraw Hill Education; </w:t>
      </w:r>
      <w:r w:rsidR="00206E4B">
        <w:rPr>
          <w:rFonts w:eastAsia="Calibri"/>
          <w:b w:val="0"/>
          <w:bCs w:val="0"/>
          <w:kern w:val="0"/>
          <w:sz w:val="24"/>
          <w:szCs w:val="24"/>
          <w:lang w:eastAsia="en-US"/>
        </w:rPr>
        <w:t xml:space="preserve">p. </w:t>
      </w:r>
      <w:r w:rsidRPr="00872783">
        <w:rPr>
          <w:rFonts w:eastAsia="Calibri"/>
          <w:b w:val="0"/>
          <w:bCs w:val="0"/>
          <w:kern w:val="0"/>
          <w:sz w:val="24"/>
          <w:szCs w:val="24"/>
          <w:lang w:eastAsia="en-US"/>
        </w:rPr>
        <w:t xml:space="preserve">498–517. </w:t>
      </w:r>
    </w:p>
    <w:p w:rsidR="00872783" w:rsidRPr="00872783" w:rsidRDefault="00872783" w:rsidP="00EB0B48">
      <w:pPr>
        <w:pStyle w:val="Heading1"/>
        <w:shd w:val="clear" w:color="auto" w:fill="FFFFFF"/>
        <w:spacing w:after="172"/>
        <w:jc w:val="both"/>
        <w:rPr>
          <w:rFonts w:eastAsia="Calibri"/>
          <w:b w:val="0"/>
          <w:bCs w:val="0"/>
          <w:kern w:val="0"/>
          <w:sz w:val="24"/>
          <w:szCs w:val="24"/>
          <w:lang w:eastAsia="en-US"/>
        </w:rPr>
      </w:pPr>
      <w:r w:rsidRPr="00872783">
        <w:rPr>
          <w:rFonts w:eastAsia="Calibri"/>
          <w:b w:val="0"/>
          <w:bCs w:val="0"/>
          <w:kern w:val="0"/>
          <w:sz w:val="24"/>
          <w:szCs w:val="24"/>
          <w:lang w:eastAsia="en-US"/>
        </w:rPr>
        <w:t xml:space="preserve">Zoeller, R.T., Brown, T.R., Doan, L.L., Gore, A.C., Skakkebaek, N.E., Soto, A.M., Woodruff, T.J., Vom Saal, F.S., (2012). Endocrine-disrupting chemicals and public health protection: a statement of principles from the Endocrine Society. </w:t>
      </w:r>
      <w:r w:rsidRPr="00E8533F">
        <w:rPr>
          <w:rFonts w:eastAsia="Calibri"/>
          <w:b w:val="0"/>
          <w:bCs w:val="0"/>
          <w:i/>
          <w:kern w:val="0"/>
          <w:sz w:val="24"/>
          <w:szCs w:val="24"/>
          <w:lang w:eastAsia="en-US"/>
        </w:rPr>
        <w:t>Endocrinology</w:t>
      </w:r>
      <w:r w:rsidR="00E8533F" w:rsidRPr="00E8533F">
        <w:rPr>
          <w:rFonts w:eastAsia="Calibri"/>
          <w:b w:val="0"/>
          <w:bCs w:val="0"/>
          <w:kern w:val="0"/>
          <w:sz w:val="24"/>
          <w:szCs w:val="24"/>
          <w:lang w:eastAsia="en-US"/>
        </w:rPr>
        <w:t>.</w:t>
      </w:r>
      <w:r w:rsidRPr="00E8533F">
        <w:rPr>
          <w:rFonts w:eastAsia="Calibri"/>
          <w:bCs w:val="0"/>
          <w:kern w:val="0"/>
          <w:sz w:val="24"/>
          <w:szCs w:val="24"/>
          <w:lang w:eastAsia="en-US"/>
        </w:rPr>
        <w:t xml:space="preserve"> </w:t>
      </w:r>
      <w:r w:rsidRPr="00624819">
        <w:rPr>
          <w:rFonts w:eastAsia="Calibri"/>
          <w:bCs w:val="0"/>
          <w:kern w:val="0"/>
          <w:sz w:val="24"/>
          <w:szCs w:val="24"/>
          <w:lang w:eastAsia="en-US"/>
        </w:rPr>
        <w:t>153</w:t>
      </w:r>
      <w:r w:rsidR="00624819">
        <w:rPr>
          <w:rFonts w:eastAsia="Calibri"/>
          <w:b w:val="0"/>
          <w:bCs w:val="0"/>
          <w:kern w:val="0"/>
          <w:sz w:val="24"/>
          <w:szCs w:val="24"/>
          <w:lang w:eastAsia="en-US"/>
        </w:rPr>
        <w:t>:</w:t>
      </w:r>
      <w:r w:rsidRPr="00872783">
        <w:rPr>
          <w:rFonts w:eastAsia="Calibri"/>
          <w:b w:val="0"/>
          <w:bCs w:val="0"/>
          <w:kern w:val="0"/>
          <w:sz w:val="24"/>
          <w:szCs w:val="24"/>
          <w:lang w:eastAsia="en-US"/>
        </w:rPr>
        <w:t xml:space="preserve"> 4097–4110</w:t>
      </w:r>
      <w:r w:rsidR="00D340F0">
        <w:rPr>
          <w:rFonts w:eastAsia="Calibri"/>
          <w:b w:val="0"/>
          <w:bCs w:val="0"/>
          <w:kern w:val="0"/>
          <w:sz w:val="24"/>
          <w:szCs w:val="24"/>
          <w:lang w:eastAsia="en-US"/>
        </w:rPr>
        <w:t>.</w:t>
      </w:r>
    </w:p>
    <w:p w:rsidR="00417BB7" w:rsidRPr="00872783" w:rsidRDefault="00417BB7" w:rsidP="00EB0B48">
      <w:pPr>
        <w:pStyle w:val="Heading1"/>
        <w:shd w:val="clear" w:color="auto" w:fill="FFFFFF"/>
        <w:spacing w:after="172"/>
        <w:jc w:val="both"/>
        <w:rPr>
          <w:rFonts w:eastAsia="Calibri"/>
          <w:b w:val="0"/>
          <w:bCs w:val="0"/>
          <w:kern w:val="0"/>
          <w:sz w:val="24"/>
          <w:szCs w:val="24"/>
          <w:lang w:eastAsia="en-US"/>
        </w:rPr>
      </w:pPr>
    </w:p>
    <w:sectPr w:rsidR="00417BB7" w:rsidRPr="00872783" w:rsidSect="00AE274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FEF"/>
    <w:multiLevelType w:val="hybridMultilevel"/>
    <w:tmpl w:val="8FA2D7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E742E3"/>
    <w:rsid w:val="000201CA"/>
    <w:rsid w:val="00030886"/>
    <w:rsid w:val="00037551"/>
    <w:rsid w:val="00050FE2"/>
    <w:rsid w:val="00054971"/>
    <w:rsid w:val="000640FC"/>
    <w:rsid w:val="00077E6F"/>
    <w:rsid w:val="000A3302"/>
    <w:rsid w:val="000A79F7"/>
    <w:rsid w:val="000C72E6"/>
    <w:rsid w:val="000D0991"/>
    <w:rsid w:val="000E0934"/>
    <w:rsid w:val="000F3928"/>
    <w:rsid w:val="000F3E98"/>
    <w:rsid w:val="00122599"/>
    <w:rsid w:val="00143A05"/>
    <w:rsid w:val="00160B46"/>
    <w:rsid w:val="0016769B"/>
    <w:rsid w:val="00171EF2"/>
    <w:rsid w:val="00183568"/>
    <w:rsid w:val="00184339"/>
    <w:rsid w:val="00187261"/>
    <w:rsid w:val="00190E1C"/>
    <w:rsid w:val="001A2AF4"/>
    <w:rsid w:val="001A3CFE"/>
    <w:rsid w:val="001B5A21"/>
    <w:rsid w:val="001B5DAA"/>
    <w:rsid w:val="001D25D8"/>
    <w:rsid w:val="001D5C9C"/>
    <w:rsid w:val="001F2780"/>
    <w:rsid w:val="00202D88"/>
    <w:rsid w:val="00206E4B"/>
    <w:rsid w:val="002244BD"/>
    <w:rsid w:val="00261687"/>
    <w:rsid w:val="00270F04"/>
    <w:rsid w:val="00292DC3"/>
    <w:rsid w:val="00295DF6"/>
    <w:rsid w:val="002A7C99"/>
    <w:rsid w:val="002B3482"/>
    <w:rsid w:val="002B392F"/>
    <w:rsid w:val="002B74FF"/>
    <w:rsid w:val="002C0A2D"/>
    <w:rsid w:val="002C6DB1"/>
    <w:rsid w:val="002E60C6"/>
    <w:rsid w:val="002E6C68"/>
    <w:rsid w:val="002F44CE"/>
    <w:rsid w:val="00302127"/>
    <w:rsid w:val="003322EF"/>
    <w:rsid w:val="003353C0"/>
    <w:rsid w:val="003412C1"/>
    <w:rsid w:val="0035333B"/>
    <w:rsid w:val="0036716A"/>
    <w:rsid w:val="003837E6"/>
    <w:rsid w:val="0038752B"/>
    <w:rsid w:val="003A1143"/>
    <w:rsid w:val="003A49F8"/>
    <w:rsid w:val="003B2F4E"/>
    <w:rsid w:val="003C6850"/>
    <w:rsid w:val="003E46ED"/>
    <w:rsid w:val="003E5228"/>
    <w:rsid w:val="003E7EE1"/>
    <w:rsid w:val="003F7658"/>
    <w:rsid w:val="004114FD"/>
    <w:rsid w:val="00417BB7"/>
    <w:rsid w:val="00417E09"/>
    <w:rsid w:val="004229DE"/>
    <w:rsid w:val="004273B8"/>
    <w:rsid w:val="0042765B"/>
    <w:rsid w:val="00430AAE"/>
    <w:rsid w:val="00440C2A"/>
    <w:rsid w:val="0046118C"/>
    <w:rsid w:val="0049138E"/>
    <w:rsid w:val="004A0CC5"/>
    <w:rsid w:val="004C775F"/>
    <w:rsid w:val="005122E7"/>
    <w:rsid w:val="00512EA6"/>
    <w:rsid w:val="00535824"/>
    <w:rsid w:val="00537157"/>
    <w:rsid w:val="00584304"/>
    <w:rsid w:val="00587A0F"/>
    <w:rsid w:val="0059798C"/>
    <w:rsid w:val="005A5129"/>
    <w:rsid w:val="005B4BB7"/>
    <w:rsid w:val="005B75BD"/>
    <w:rsid w:val="005E755D"/>
    <w:rsid w:val="005F267B"/>
    <w:rsid w:val="005F2B60"/>
    <w:rsid w:val="00613E0D"/>
    <w:rsid w:val="00614442"/>
    <w:rsid w:val="00615243"/>
    <w:rsid w:val="006170C7"/>
    <w:rsid w:val="00624819"/>
    <w:rsid w:val="00633185"/>
    <w:rsid w:val="00646F3B"/>
    <w:rsid w:val="00655BCB"/>
    <w:rsid w:val="006612B6"/>
    <w:rsid w:val="0067173F"/>
    <w:rsid w:val="0067402F"/>
    <w:rsid w:val="00681634"/>
    <w:rsid w:val="006831E1"/>
    <w:rsid w:val="00693420"/>
    <w:rsid w:val="006A4598"/>
    <w:rsid w:val="006B4EC6"/>
    <w:rsid w:val="006C027C"/>
    <w:rsid w:val="006D155C"/>
    <w:rsid w:val="006E6C1C"/>
    <w:rsid w:val="006F157A"/>
    <w:rsid w:val="0070400F"/>
    <w:rsid w:val="00706CB0"/>
    <w:rsid w:val="00743EEE"/>
    <w:rsid w:val="0075531D"/>
    <w:rsid w:val="007600BE"/>
    <w:rsid w:val="00762776"/>
    <w:rsid w:val="00766616"/>
    <w:rsid w:val="007A0D50"/>
    <w:rsid w:val="007A7714"/>
    <w:rsid w:val="007B392F"/>
    <w:rsid w:val="007C7CF6"/>
    <w:rsid w:val="007D6FB5"/>
    <w:rsid w:val="007D7A05"/>
    <w:rsid w:val="007E2171"/>
    <w:rsid w:val="007E73E8"/>
    <w:rsid w:val="0083404B"/>
    <w:rsid w:val="008358A5"/>
    <w:rsid w:val="00840F8B"/>
    <w:rsid w:val="00842E67"/>
    <w:rsid w:val="008537DD"/>
    <w:rsid w:val="00856DB5"/>
    <w:rsid w:val="00872783"/>
    <w:rsid w:val="00873F6F"/>
    <w:rsid w:val="008823D5"/>
    <w:rsid w:val="00897CDC"/>
    <w:rsid w:val="008A0C64"/>
    <w:rsid w:val="008B17E2"/>
    <w:rsid w:val="008D0E7F"/>
    <w:rsid w:val="008D2E24"/>
    <w:rsid w:val="008E0504"/>
    <w:rsid w:val="008E26A0"/>
    <w:rsid w:val="00915229"/>
    <w:rsid w:val="00923804"/>
    <w:rsid w:val="00935E0E"/>
    <w:rsid w:val="009361B5"/>
    <w:rsid w:val="0094674F"/>
    <w:rsid w:val="009468D0"/>
    <w:rsid w:val="00953AB1"/>
    <w:rsid w:val="00960763"/>
    <w:rsid w:val="009633E5"/>
    <w:rsid w:val="00964410"/>
    <w:rsid w:val="00986EF0"/>
    <w:rsid w:val="00992730"/>
    <w:rsid w:val="009A57C5"/>
    <w:rsid w:val="009B6715"/>
    <w:rsid w:val="009E32CC"/>
    <w:rsid w:val="009F4A0B"/>
    <w:rsid w:val="00A00AFD"/>
    <w:rsid w:val="00A0193C"/>
    <w:rsid w:val="00A44CA0"/>
    <w:rsid w:val="00A51D33"/>
    <w:rsid w:val="00A52BC1"/>
    <w:rsid w:val="00A57324"/>
    <w:rsid w:val="00A64EC4"/>
    <w:rsid w:val="00A6532F"/>
    <w:rsid w:val="00A665E3"/>
    <w:rsid w:val="00AA4E32"/>
    <w:rsid w:val="00AA7F76"/>
    <w:rsid w:val="00AB0008"/>
    <w:rsid w:val="00AE274E"/>
    <w:rsid w:val="00AF0776"/>
    <w:rsid w:val="00AF384A"/>
    <w:rsid w:val="00B25B9C"/>
    <w:rsid w:val="00B27413"/>
    <w:rsid w:val="00B31969"/>
    <w:rsid w:val="00B51B20"/>
    <w:rsid w:val="00B65302"/>
    <w:rsid w:val="00B653DB"/>
    <w:rsid w:val="00B822AD"/>
    <w:rsid w:val="00B83851"/>
    <w:rsid w:val="00B85924"/>
    <w:rsid w:val="00B876CE"/>
    <w:rsid w:val="00BC087B"/>
    <w:rsid w:val="00BC250C"/>
    <w:rsid w:val="00C03F74"/>
    <w:rsid w:val="00C058AF"/>
    <w:rsid w:val="00C10873"/>
    <w:rsid w:val="00C10971"/>
    <w:rsid w:val="00C304F5"/>
    <w:rsid w:val="00C51C99"/>
    <w:rsid w:val="00C5562F"/>
    <w:rsid w:val="00C6365E"/>
    <w:rsid w:val="00CA166A"/>
    <w:rsid w:val="00CC43BB"/>
    <w:rsid w:val="00CC5E34"/>
    <w:rsid w:val="00CD3125"/>
    <w:rsid w:val="00CD7B69"/>
    <w:rsid w:val="00CE4B04"/>
    <w:rsid w:val="00CF3634"/>
    <w:rsid w:val="00D14E22"/>
    <w:rsid w:val="00D21F9C"/>
    <w:rsid w:val="00D27D73"/>
    <w:rsid w:val="00D324DE"/>
    <w:rsid w:val="00D340F0"/>
    <w:rsid w:val="00D36EEF"/>
    <w:rsid w:val="00D43561"/>
    <w:rsid w:val="00D4654D"/>
    <w:rsid w:val="00D46772"/>
    <w:rsid w:val="00D5139D"/>
    <w:rsid w:val="00D62E98"/>
    <w:rsid w:val="00D731EE"/>
    <w:rsid w:val="00D81924"/>
    <w:rsid w:val="00D83287"/>
    <w:rsid w:val="00D87D44"/>
    <w:rsid w:val="00D91DD7"/>
    <w:rsid w:val="00D94072"/>
    <w:rsid w:val="00DB68FF"/>
    <w:rsid w:val="00DE49C5"/>
    <w:rsid w:val="00E04F06"/>
    <w:rsid w:val="00E12A6D"/>
    <w:rsid w:val="00E33E23"/>
    <w:rsid w:val="00E35E71"/>
    <w:rsid w:val="00E63B74"/>
    <w:rsid w:val="00E742E3"/>
    <w:rsid w:val="00E8533F"/>
    <w:rsid w:val="00E86DE9"/>
    <w:rsid w:val="00EA5F61"/>
    <w:rsid w:val="00EB0B48"/>
    <w:rsid w:val="00EC0AE5"/>
    <w:rsid w:val="00EC4EED"/>
    <w:rsid w:val="00ED2EE5"/>
    <w:rsid w:val="00EE110B"/>
    <w:rsid w:val="00EF2EF3"/>
    <w:rsid w:val="00F00144"/>
    <w:rsid w:val="00F04B05"/>
    <w:rsid w:val="00F205F2"/>
    <w:rsid w:val="00F42D32"/>
    <w:rsid w:val="00F9023A"/>
    <w:rsid w:val="00FA51E4"/>
    <w:rsid w:val="00FB64FA"/>
    <w:rsid w:val="00FC3144"/>
    <w:rsid w:val="00FC3F14"/>
    <w:rsid w:val="00FC4C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74E"/>
  </w:style>
  <w:style w:type="paragraph" w:styleId="Heading1">
    <w:name w:val="heading 1"/>
    <w:basedOn w:val="Normal"/>
    <w:link w:val="Heading1Char"/>
    <w:uiPriority w:val="9"/>
    <w:qFormat/>
    <w:rsid w:val="0026168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5">
    <w:name w:val="heading 5"/>
    <w:basedOn w:val="Normal"/>
    <w:next w:val="Normal"/>
    <w:link w:val="Heading5Char"/>
    <w:uiPriority w:val="9"/>
    <w:semiHidden/>
    <w:unhideWhenUsed/>
    <w:qFormat/>
    <w:rsid w:val="00B653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687"/>
    <w:rPr>
      <w:rFonts w:ascii="Times New Roman" w:eastAsia="Times New Roman" w:hAnsi="Times New Roman" w:cs="Times New Roman"/>
      <w:b/>
      <w:bCs/>
      <w:kern w:val="36"/>
      <w:sz w:val="48"/>
      <w:szCs w:val="48"/>
      <w:lang w:val="en-IN" w:eastAsia="en-IN"/>
    </w:rPr>
  </w:style>
  <w:style w:type="character" w:customStyle="1" w:styleId="ref-lnk">
    <w:name w:val="ref-lnk"/>
    <w:basedOn w:val="DefaultParagraphFont"/>
    <w:rsid w:val="00D324DE"/>
  </w:style>
  <w:style w:type="character" w:styleId="Hyperlink">
    <w:name w:val="Hyperlink"/>
    <w:basedOn w:val="DefaultParagraphFont"/>
    <w:uiPriority w:val="99"/>
    <w:unhideWhenUsed/>
    <w:rsid w:val="00D324DE"/>
    <w:rPr>
      <w:color w:val="0000FF"/>
      <w:u w:val="single"/>
    </w:rPr>
  </w:style>
  <w:style w:type="character" w:customStyle="1" w:styleId="off-screen">
    <w:name w:val="off-screen"/>
    <w:basedOn w:val="DefaultParagraphFont"/>
    <w:rsid w:val="00D324DE"/>
  </w:style>
  <w:style w:type="character" w:customStyle="1" w:styleId="hlfld-contribauthor">
    <w:name w:val="hlfld-contribauthor"/>
    <w:basedOn w:val="DefaultParagraphFont"/>
    <w:rsid w:val="002E60C6"/>
  </w:style>
  <w:style w:type="character" w:customStyle="1" w:styleId="nlmgiven-names">
    <w:name w:val="nlm_given-names"/>
    <w:basedOn w:val="DefaultParagraphFont"/>
    <w:rsid w:val="002E60C6"/>
  </w:style>
  <w:style w:type="character" w:customStyle="1" w:styleId="nlmyear">
    <w:name w:val="nlm_year"/>
    <w:basedOn w:val="DefaultParagraphFont"/>
    <w:rsid w:val="002E60C6"/>
  </w:style>
  <w:style w:type="character" w:customStyle="1" w:styleId="nlmarticle-title">
    <w:name w:val="nlm_article-title"/>
    <w:basedOn w:val="DefaultParagraphFont"/>
    <w:rsid w:val="002E60C6"/>
  </w:style>
  <w:style w:type="character" w:customStyle="1" w:styleId="nlmfpage">
    <w:name w:val="nlm_fpage"/>
    <w:basedOn w:val="DefaultParagraphFont"/>
    <w:rsid w:val="002E60C6"/>
  </w:style>
  <w:style w:type="character" w:customStyle="1" w:styleId="nlmlpage">
    <w:name w:val="nlm_lpage"/>
    <w:basedOn w:val="DefaultParagraphFont"/>
    <w:rsid w:val="002E60C6"/>
  </w:style>
  <w:style w:type="character" w:customStyle="1" w:styleId="reflink-block">
    <w:name w:val="reflink-block"/>
    <w:basedOn w:val="DefaultParagraphFont"/>
    <w:rsid w:val="002E60C6"/>
  </w:style>
  <w:style w:type="character" w:customStyle="1" w:styleId="Heading5Char">
    <w:name w:val="Heading 5 Char"/>
    <w:basedOn w:val="DefaultParagraphFont"/>
    <w:link w:val="Heading5"/>
    <w:uiPriority w:val="9"/>
    <w:semiHidden/>
    <w:rsid w:val="00B653DB"/>
    <w:rPr>
      <w:rFonts w:asciiTheme="majorHAnsi" w:eastAsiaTheme="majorEastAsia" w:hAnsiTheme="majorHAnsi" w:cstheme="majorBidi"/>
      <w:color w:val="243F60" w:themeColor="accent1" w:themeShade="7F"/>
    </w:rPr>
  </w:style>
  <w:style w:type="character" w:customStyle="1" w:styleId="ref-title">
    <w:name w:val="ref-title"/>
    <w:basedOn w:val="DefaultParagraphFont"/>
    <w:rsid w:val="001A3CFE"/>
  </w:style>
  <w:style w:type="character" w:customStyle="1" w:styleId="ref-journal">
    <w:name w:val="ref-journal"/>
    <w:basedOn w:val="DefaultParagraphFont"/>
    <w:rsid w:val="001A3CFE"/>
  </w:style>
  <w:style w:type="character" w:customStyle="1" w:styleId="ref-vol">
    <w:name w:val="ref-vol"/>
    <w:basedOn w:val="DefaultParagraphFont"/>
    <w:rsid w:val="001A3CFE"/>
  </w:style>
  <w:style w:type="character" w:customStyle="1" w:styleId="ref-iss">
    <w:name w:val="ref-iss"/>
    <w:basedOn w:val="DefaultParagraphFont"/>
    <w:rsid w:val="001A3CFE"/>
  </w:style>
</w:styles>
</file>

<file path=word/webSettings.xml><?xml version="1.0" encoding="utf-8"?>
<w:webSettings xmlns:r="http://schemas.openxmlformats.org/officeDocument/2006/relationships" xmlns:w="http://schemas.openxmlformats.org/wordprocessingml/2006/main">
  <w:divs>
    <w:div w:id="520320111">
      <w:bodyDiv w:val="1"/>
      <w:marLeft w:val="0"/>
      <w:marRight w:val="0"/>
      <w:marTop w:val="0"/>
      <w:marBottom w:val="0"/>
      <w:divBdr>
        <w:top w:val="none" w:sz="0" w:space="0" w:color="auto"/>
        <w:left w:val="none" w:sz="0" w:space="0" w:color="auto"/>
        <w:bottom w:val="none" w:sz="0" w:space="0" w:color="auto"/>
        <w:right w:val="none" w:sz="0" w:space="0" w:color="auto"/>
      </w:divBdr>
    </w:div>
    <w:div w:id="742601044">
      <w:bodyDiv w:val="1"/>
      <w:marLeft w:val="0"/>
      <w:marRight w:val="0"/>
      <w:marTop w:val="0"/>
      <w:marBottom w:val="0"/>
      <w:divBdr>
        <w:top w:val="none" w:sz="0" w:space="0" w:color="auto"/>
        <w:left w:val="none" w:sz="0" w:space="0" w:color="auto"/>
        <w:bottom w:val="none" w:sz="0" w:space="0" w:color="auto"/>
        <w:right w:val="none" w:sz="0" w:space="0" w:color="auto"/>
      </w:divBdr>
      <w:divsChild>
        <w:div w:id="1897160517">
          <w:marLeft w:val="0"/>
          <w:marRight w:val="0"/>
          <w:marTop w:val="14"/>
          <w:marBottom w:val="0"/>
          <w:divBdr>
            <w:top w:val="single" w:sz="48" w:space="0" w:color="auto"/>
            <w:left w:val="single" w:sz="48" w:space="0" w:color="auto"/>
            <w:bottom w:val="single" w:sz="48" w:space="0" w:color="auto"/>
            <w:right w:val="single" w:sz="48" w:space="0" w:color="auto"/>
          </w:divBdr>
          <w:divsChild>
            <w:div w:id="6291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72379">
      <w:bodyDiv w:val="1"/>
      <w:marLeft w:val="0"/>
      <w:marRight w:val="0"/>
      <w:marTop w:val="0"/>
      <w:marBottom w:val="0"/>
      <w:divBdr>
        <w:top w:val="none" w:sz="0" w:space="0" w:color="auto"/>
        <w:left w:val="none" w:sz="0" w:space="0" w:color="auto"/>
        <w:bottom w:val="none" w:sz="0" w:space="0" w:color="auto"/>
        <w:right w:val="none" w:sz="0" w:space="0" w:color="auto"/>
      </w:divBdr>
    </w:div>
    <w:div w:id="14182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andfonline.com/doi/full/10.1080/09712119.2022.208914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2491</Words>
  <Characters>14200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AKHTER</dc:creator>
  <cp:lastModifiedBy>AKHTER</cp:lastModifiedBy>
  <cp:revision>19</cp:revision>
  <dcterms:created xsi:type="dcterms:W3CDTF">2023-10-27T09:49:00Z</dcterms:created>
  <dcterms:modified xsi:type="dcterms:W3CDTF">2024-02-25T06:05:00Z</dcterms:modified>
</cp:coreProperties>
</file>