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3643" w:rsidRDefault="00C83643" w:rsidP="003B2FE9">
      <w:pPr>
        <w:spacing w:before="100" w:beforeAutospacing="1" w:after="100" w:afterAutospacing="1"/>
        <w:jc w:val="center"/>
        <w:rPr>
          <w:b/>
          <w:bCs/>
        </w:rPr>
      </w:pPr>
      <w:r w:rsidRPr="00A34689">
        <w:rPr>
          <w:b/>
          <w:bCs/>
        </w:rPr>
        <w:t xml:space="preserve">Entrepreneurial marketing of </w:t>
      </w:r>
      <w:proofErr w:type="spellStart"/>
      <w:r w:rsidRPr="00A34689">
        <w:rPr>
          <w:b/>
          <w:bCs/>
        </w:rPr>
        <w:t>Agripreneurs</w:t>
      </w:r>
      <w:proofErr w:type="spellEnd"/>
      <w:r w:rsidRPr="00A34689">
        <w:rPr>
          <w:b/>
          <w:bCs/>
        </w:rPr>
        <w:t xml:space="preserve"> During </w:t>
      </w:r>
      <w:r w:rsidR="00A904D2" w:rsidRPr="00A34689">
        <w:rPr>
          <w:b/>
          <w:bCs/>
        </w:rPr>
        <w:t>K</w:t>
      </w:r>
      <w:r w:rsidRPr="00A34689">
        <w:rPr>
          <w:b/>
          <w:bCs/>
        </w:rPr>
        <w:t>isan Mela at GBPUA</w:t>
      </w:r>
      <w:r w:rsidR="00A904D2" w:rsidRPr="00A34689">
        <w:rPr>
          <w:b/>
          <w:bCs/>
        </w:rPr>
        <w:t>&amp;T,</w:t>
      </w:r>
      <w:r w:rsidRPr="00A34689">
        <w:rPr>
          <w:b/>
          <w:bCs/>
        </w:rPr>
        <w:t xml:space="preserve"> Pantnagar</w:t>
      </w:r>
    </w:p>
    <w:p w:rsidR="00B63933" w:rsidRPr="006E79F0" w:rsidRDefault="00B63933" w:rsidP="003B2FE9">
      <w:pPr>
        <w:spacing w:before="100" w:beforeAutospacing="1" w:after="100" w:afterAutospacing="1"/>
        <w:jc w:val="center"/>
        <w:rPr>
          <w:vertAlign w:val="superscript"/>
        </w:rPr>
      </w:pPr>
      <w:r w:rsidRPr="006E79F0">
        <w:t>Gagan Tripathi</w:t>
      </w:r>
      <w:r w:rsidRPr="006E79F0">
        <w:rPr>
          <w:vertAlign w:val="superscript"/>
        </w:rPr>
        <w:t>1</w:t>
      </w:r>
      <w:r w:rsidRPr="006E79F0">
        <w:t>, Arpita Sharma Kandpal</w:t>
      </w:r>
      <w:r w:rsidRPr="006E79F0">
        <w:rPr>
          <w:vertAlign w:val="superscript"/>
        </w:rPr>
        <w:t>2</w:t>
      </w:r>
      <w:r w:rsidRPr="006E79F0">
        <w:t>, Pooja Goswami</w:t>
      </w:r>
      <w:r w:rsidR="006E79F0">
        <w:rPr>
          <w:vertAlign w:val="superscript"/>
        </w:rPr>
        <w:t>3</w:t>
      </w:r>
      <w:r w:rsidR="006E79F0">
        <w:t>,</w:t>
      </w:r>
      <w:r w:rsidR="006E79F0" w:rsidRPr="006E79F0">
        <w:t xml:space="preserve"> </w:t>
      </w:r>
      <w:r w:rsidR="006E79F0" w:rsidRPr="006E79F0">
        <w:t>Vanshika Gupta</w:t>
      </w:r>
      <w:r w:rsidR="006E79F0">
        <w:rPr>
          <w:vertAlign w:val="superscript"/>
        </w:rPr>
        <w:t>3</w:t>
      </w:r>
      <w:r w:rsidR="006E79F0" w:rsidRPr="006E79F0">
        <w:t>, Manisha Das</w:t>
      </w:r>
      <w:r w:rsidR="006E79F0">
        <w:rPr>
          <w:vertAlign w:val="superscript"/>
        </w:rPr>
        <w:t>3</w:t>
      </w:r>
      <w:r w:rsidR="006E79F0" w:rsidRPr="006E79F0">
        <w:t>,</w:t>
      </w:r>
    </w:p>
    <w:p w:rsidR="00B63933" w:rsidRPr="006E79F0" w:rsidRDefault="00B63933" w:rsidP="003B2FE9">
      <w:pPr>
        <w:spacing w:before="100" w:beforeAutospacing="1" w:after="100" w:afterAutospacing="1"/>
        <w:jc w:val="center"/>
      </w:pPr>
      <w:r w:rsidRPr="006E79F0">
        <w:t xml:space="preserve">Department of Agricultural Communication, </w:t>
      </w:r>
      <w:proofErr w:type="spellStart"/>
      <w:r w:rsidRPr="006E79F0">
        <w:t>Gbpuat</w:t>
      </w:r>
      <w:proofErr w:type="spellEnd"/>
      <w:r w:rsidRPr="006E79F0">
        <w:t xml:space="preserve"> Pantnagar</w:t>
      </w:r>
    </w:p>
    <w:p w:rsidR="00B63933" w:rsidRPr="00A34689" w:rsidRDefault="00B63933" w:rsidP="003B2FE9">
      <w:pPr>
        <w:spacing w:before="100" w:beforeAutospacing="1" w:after="100" w:afterAutospacing="1"/>
        <w:jc w:val="center"/>
        <w:rPr>
          <w:b/>
          <w:bCs/>
        </w:rPr>
      </w:pPr>
    </w:p>
    <w:p w:rsidR="00C83643" w:rsidRPr="00A34689" w:rsidRDefault="00C83643" w:rsidP="003B2FE9">
      <w:pPr>
        <w:spacing w:before="100" w:beforeAutospacing="1" w:after="100" w:afterAutospacing="1"/>
        <w:jc w:val="both"/>
        <w:rPr>
          <w:b/>
          <w:bCs/>
        </w:rPr>
      </w:pPr>
      <w:r w:rsidRPr="00A34689">
        <w:rPr>
          <w:b/>
          <w:bCs/>
        </w:rPr>
        <w:t xml:space="preserve">Abstract: </w:t>
      </w:r>
    </w:p>
    <w:p w:rsidR="001653F1" w:rsidRPr="00566252" w:rsidRDefault="001653F1" w:rsidP="003B2FE9">
      <w:pPr>
        <w:pStyle w:val="p1"/>
        <w:jc w:val="both"/>
        <w:rPr>
          <w:sz w:val="24"/>
          <w:szCs w:val="24"/>
        </w:rPr>
      </w:pPr>
      <w:r w:rsidRPr="00566252">
        <w:rPr>
          <w:sz w:val="24"/>
          <w:szCs w:val="24"/>
        </w:rPr>
        <w:t>Entrepreneurial marketing (EM) is an innovative, opportunity-driven, and resource-efficient approach that combines entrepreneurial thinking with marketing strategies to drive business growth in uncertain environments.</w:t>
      </w:r>
      <w:r w:rsidR="00566252" w:rsidRPr="00566252">
        <w:rPr>
          <w:sz w:val="24"/>
          <w:szCs w:val="24"/>
        </w:rPr>
        <w:t xml:space="preserve"> </w:t>
      </w:r>
      <w:proofErr w:type="spellStart"/>
      <w:r w:rsidR="00566252" w:rsidRPr="00566252">
        <w:rPr>
          <w:sz w:val="24"/>
          <w:szCs w:val="24"/>
        </w:rPr>
        <w:t>Agripreneurs</w:t>
      </w:r>
      <w:proofErr w:type="spellEnd"/>
      <w:r w:rsidR="00566252" w:rsidRPr="00566252">
        <w:rPr>
          <w:sz w:val="24"/>
          <w:szCs w:val="24"/>
        </w:rPr>
        <w:t xml:space="preserve"> bridge traditional farming practices with innovative entrepreneurial approaches, adopting</w:t>
      </w:r>
      <w:r w:rsidR="00566252">
        <w:rPr>
          <w:sz w:val="24"/>
          <w:szCs w:val="24"/>
        </w:rPr>
        <w:t xml:space="preserve"> </w:t>
      </w:r>
      <w:r w:rsidR="00566252" w:rsidRPr="00566252">
        <w:rPr>
          <w:sz w:val="24"/>
          <w:szCs w:val="24"/>
        </w:rPr>
        <w:t>modern marketing techniques to expand market reach and value addition. This study aims to investigate the entrepreneurial</w:t>
      </w:r>
      <w:r w:rsidR="00566252">
        <w:rPr>
          <w:sz w:val="24"/>
          <w:szCs w:val="24"/>
        </w:rPr>
        <w:t xml:space="preserve"> </w:t>
      </w:r>
      <w:r w:rsidR="00566252" w:rsidRPr="00566252">
        <w:rPr>
          <w:sz w:val="24"/>
          <w:szCs w:val="24"/>
        </w:rPr>
        <w:t xml:space="preserve">marketing practices among </w:t>
      </w:r>
      <w:proofErr w:type="spellStart"/>
      <w:r w:rsidR="00566252" w:rsidRPr="00566252">
        <w:rPr>
          <w:sz w:val="24"/>
          <w:szCs w:val="24"/>
        </w:rPr>
        <w:t>agripreneurs</w:t>
      </w:r>
      <w:proofErr w:type="spellEnd"/>
      <w:r w:rsidR="00566252" w:rsidRPr="00566252">
        <w:rPr>
          <w:sz w:val="24"/>
          <w:szCs w:val="24"/>
        </w:rPr>
        <w:t xml:space="preserve"> during Kisan mela at GBPUAT, Pantnagar .</w:t>
      </w:r>
    </w:p>
    <w:p w:rsidR="00457300" w:rsidRDefault="00457300" w:rsidP="003B2FE9">
      <w:pPr>
        <w:spacing w:before="100" w:beforeAutospacing="1" w:after="100" w:afterAutospacing="1"/>
        <w:jc w:val="both"/>
        <w:rPr>
          <w:color w:val="000000"/>
        </w:rPr>
      </w:pPr>
      <w:r>
        <w:rPr>
          <w:color w:val="000000"/>
        </w:rPr>
        <w:t xml:space="preserve">A study of 52 participating </w:t>
      </w:r>
      <w:proofErr w:type="spellStart"/>
      <w:r>
        <w:rPr>
          <w:color w:val="000000"/>
        </w:rPr>
        <w:t>agripreneurs</w:t>
      </w:r>
      <w:proofErr w:type="spellEnd"/>
      <w:r w:rsidR="00B30601">
        <w:rPr>
          <w:color w:val="000000"/>
        </w:rPr>
        <w:t xml:space="preserve"> using a structured </w:t>
      </w:r>
      <w:proofErr w:type="spellStart"/>
      <w:r w:rsidR="00B30601">
        <w:rPr>
          <w:color w:val="000000"/>
        </w:rPr>
        <w:t>Questionaire</w:t>
      </w:r>
      <w:proofErr w:type="spellEnd"/>
      <w:r>
        <w:rPr>
          <w:color w:val="000000"/>
        </w:rPr>
        <w:t xml:space="preserve"> revealed a predominantly youthful and educated demographic, with 46.2% aged between 30–39 years and 44.2</w:t>
      </w:r>
      <w:r w:rsidR="006E2E2F">
        <w:rPr>
          <w:color w:val="000000"/>
        </w:rPr>
        <w:t xml:space="preserve"> percent </w:t>
      </w:r>
      <w:r>
        <w:rPr>
          <w:color w:val="000000"/>
        </w:rPr>
        <w:t xml:space="preserve">holding graduate degrees. Most participants (34.6%) had invested between ₹1,21,000 and ₹2,00,000 in their agribusiness ventures. During the mela, </w:t>
      </w:r>
      <w:proofErr w:type="spellStart"/>
      <w:r>
        <w:rPr>
          <w:color w:val="000000"/>
        </w:rPr>
        <w:t>agripreneurs</w:t>
      </w:r>
      <w:proofErr w:type="spellEnd"/>
      <w:r>
        <w:rPr>
          <w:color w:val="000000"/>
        </w:rPr>
        <w:t xml:space="preserve"> implemented various entrepreneurial marketing strategies, including live product demonstrations, personalized customer interactions, and grassroots branding.</w:t>
      </w:r>
    </w:p>
    <w:p w:rsidR="00457300" w:rsidRPr="00DE7193" w:rsidRDefault="00457300" w:rsidP="003B2FE9">
      <w:pPr>
        <w:spacing w:before="100" w:beforeAutospacing="1" w:after="100" w:afterAutospacing="1"/>
        <w:jc w:val="both"/>
        <w:rPr>
          <w:color w:val="000000"/>
        </w:rPr>
      </w:pPr>
      <w:r w:rsidRPr="00DE7193">
        <w:rPr>
          <w:color w:val="000000"/>
        </w:rPr>
        <w:t xml:space="preserve">Descriptive analysis of key entrepreneurial marketing constructs indicated that a majority of </w:t>
      </w:r>
      <w:proofErr w:type="spellStart"/>
      <w:r w:rsidRPr="00DE7193">
        <w:rPr>
          <w:color w:val="000000"/>
        </w:rPr>
        <w:t>agripreneurs</w:t>
      </w:r>
      <w:proofErr w:type="spellEnd"/>
      <w:r w:rsidRPr="00DE7193">
        <w:rPr>
          <w:color w:val="000000"/>
        </w:rPr>
        <w:t xml:space="preserve"> demonstrated high levels of</w:t>
      </w:r>
      <w:r w:rsidRPr="00DE7193">
        <w:rPr>
          <w:rStyle w:val="apple-converted-space"/>
          <w:rFonts w:eastAsiaTheme="majorEastAsia"/>
          <w:color w:val="000000"/>
        </w:rPr>
        <w:t> </w:t>
      </w:r>
      <w:r w:rsidRPr="00DE7193">
        <w:rPr>
          <w:rStyle w:val="Strong"/>
          <w:rFonts w:eastAsiaTheme="majorEastAsia"/>
          <w:b w:val="0"/>
          <w:bCs w:val="0"/>
          <w:color w:val="000000"/>
        </w:rPr>
        <w:t>Innovativeness (67.30%)</w:t>
      </w:r>
      <w:r w:rsidRPr="00DE7193">
        <w:rPr>
          <w:b/>
          <w:bCs/>
          <w:color w:val="000000"/>
        </w:rPr>
        <w:t>,</w:t>
      </w:r>
      <w:r w:rsidRPr="00DE7193">
        <w:rPr>
          <w:rStyle w:val="apple-converted-space"/>
          <w:rFonts w:eastAsiaTheme="majorEastAsia"/>
          <w:b/>
          <w:bCs/>
          <w:color w:val="000000"/>
        </w:rPr>
        <w:t> </w:t>
      </w:r>
      <w:r w:rsidRPr="00DE7193">
        <w:rPr>
          <w:rStyle w:val="Strong"/>
          <w:rFonts w:eastAsiaTheme="majorEastAsia"/>
          <w:b w:val="0"/>
          <w:bCs w:val="0"/>
          <w:color w:val="000000"/>
        </w:rPr>
        <w:t>Resource Leveraging (55.77%)</w:t>
      </w:r>
      <w:r w:rsidRPr="00DE7193">
        <w:rPr>
          <w:b/>
          <w:bCs/>
          <w:color w:val="000000"/>
        </w:rPr>
        <w:t>,</w:t>
      </w:r>
      <w:r w:rsidRPr="00DE7193">
        <w:rPr>
          <w:rStyle w:val="apple-converted-space"/>
          <w:rFonts w:eastAsiaTheme="majorEastAsia"/>
          <w:b/>
          <w:bCs/>
          <w:color w:val="000000"/>
        </w:rPr>
        <w:t> </w:t>
      </w:r>
      <w:r w:rsidRPr="00DE7193">
        <w:rPr>
          <w:rStyle w:val="Strong"/>
          <w:rFonts w:eastAsiaTheme="majorEastAsia"/>
          <w:b w:val="0"/>
          <w:bCs w:val="0"/>
          <w:color w:val="000000"/>
        </w:rPr>
        <w:t>Proactive Marketing (51.92%)</w:t>
      </w:r>
      <w:r w:rsidRPr="00DE7193">
        <w:rPr>
          <w:b/>
          <w:bCs/>
          <w:color w:val="000000"/>
        </w:rPr>
        <w:t xml:space="preserve">, </w:t>
      </w:r>
      <w:r w:rsidRPr="00DE7193">
        <w:rPr>
          <w:color w:val="000000"/>
        </w:rPr>
        <w:t>and</w:t>
      </w:r>
      <w:r w:rsidRPr="00DE7193">
        <w:rPr>
          <w:rStyle w:val="apple-converted-space"/>
          <w:rFonts w:eastAsiaTheme="majorEastAsia"/>
          <w:color w:val="000000"/>
        </w:rPr>
        <w:t> </w:t>
      </w:r>
      <w:r w:rsidRPr="00DE7193">
        <w:rPr>
          <w:rStyle w:val="Strong"/>
          <w:rFonts w:eastAsiaTheme="majorEastAsia"/>
          <w:b w:val="0"/>
          <w:bCs w:val="0"/>
          <w:color w:val="000000"/>
        </w:rPr>
        <w:t>Acceptable Risk (51.93%)</w:t>
      </w:r>
      <w:r w:rsidRPr="00DE7193">
        <w:rPr>
          <w:b/>
          <w:bCs/>
          <w:color w:val="000000"/>
        </w:rPr>
        <w:t xml:space="preserve">. </w:t>
      </w:r>
      <w:r w:rsidRPr="00DE7193">
        <w:rPr>
          <w:rStyle w:val="Strong"/>
          <w:rFonts w:eastAsiaTheme="majorEastAsia"/>
          <w:b w:val="0"/>
          <w:bCs w:val="0"/>
          <w:color w:val="000000"/>
        </w:rPr>
        <w:t>Network Attention</w:t>
      </w:r>
      <w:r w:rsidRPr="00DE7193">
        <w:rPr>
          <w:rStyle w:val="apple-converted-space"/>
          <w:rFonts w:eastAsiaTheme="majorEastAsia"/>
          <w:b/>
          <w:bCs/>
          <w:color w:val="000000"/>
        </w:rPr>
        <w:t> </w:t>
      </w:r>
      <w:r w:rsidRPr="00DE7193">
        <w:rPr>
          <w:color w:val="000000"/>
        </w:rPr>
        <w:t>scored comparatively lower, with only 48.07</w:t>
      </w:r>
      <w:r w:rsidR="006051CA">
        <w:rPr>
          <w:color w:val="000000"/>
        </w:rPr>
        <w:t xml:space="preserve"> percent</w:t>
      </w:r>
      <w:r w:rsidRPr="00DE7193">
        <w:rPr>
          <w:color w:val="000000"/>
        </w:rPr>
        <w:t xml:space="preserve"> reporting high levels. These findings highlight the </w:t>
      </w:r>
      <w:proofErr w:type="spellStart"/>
      <w:r w:rsidRPr="00DE7193">
        <w:rPr>
          <w:color w:val="000000"/>
        </w:rPr>
        <w:t>agripreneurs</w:t>
      </w:r>
      <w:proofErr w:type="spellEnd"/>
      <w:r w:rsidRPr="00DE7193">
        <w:rPr>
          <w:color w:val="000000"/>
        </w:rPr>
        <w:t xml:space="preserve">' strong orientation toward innovation, strategic resource use, and risk-taking—traits essential for thriving in dynamic rural markets. </w:t>
      </w:r>
    </w:p>
    <w:p w:rsidR="00897BBB" w:rsidRPr="00897BBB" w:rsidRDefault="00897BBB" w:rsidP="003B2FE9">
      <w:pPr>
        <w:spacing w:before="100" w:beforeAutospacing="1" w:after="100" w:afterAutospacing="1"/>
        <w:jc w:val="both"/>
        <w:rPr>
          <w:b/>
          <w:bCs/>
        </w:rPr>
      </w:pPr>
      <w:r w:rsidRPr="00897BBB">
        <w:rPr>
          <w:b/>
          <w:bCs/>
        </w:rPr>
        <w:t xml:space="preserve">Keywords : </w:t>
      </w:r>
      <w:r w:rsidRPr="00453A03">
        <w:t xml:space="preserve">Entrepreneurial Marketing , Marketing , </w:t>
      </w:r>
      <w:proofErr w:type="spellStart"/>
      <w:r w:rsidRPr="00453A03">
        <w:t>Agripreneurs</w:t>
      </w:r>
      <w:proofErr w:type="spellEnd"/>
      <w:r w:rsidRPr="00453A03">
        <w:t xml:space="preserve"> , Kisan mela</w:t>
      </w:r>
      <w:r>
        <w:rPr>
          <w:b/>
          <w:bCs/>
        </w:rPr>
        <w:t xml:space="preserve"> </w:t>
      </w:r>
      <w:r w:rsidR="00B30601">
        <w:rPr>
          <w:b/>
          <w:bCs/>
        </w:rPr>
        <w:t xml:space="preserve">, </w:t>
      </w:r>
      <w:r w:rsidR="00B30601" w:rsidRPr="00B30601">
        <w:t>Pantnagar</w:t>
      </w:r>
    </w:p>
    <w:p w:rsidR="00C83643" w:rsidRPr="00A34689" w:rsidRDefault="00C83643" w:rsidP="003B2FE9">
      <w:pPr>
        <w:spacing w:before="100" w:beforeAutospacing="1" w:after="100" w:afterAutospacing="1"/>
        <w:jc w:val="both"/>
        <w:rPr>
          <w:b/>
          <w:bCs/>
        </w:rPr>
      </w:pPr>
      <w:r w:rsidRPr="00A34689">
        <w:rPr>
          <w:b/>
          <w:bCs/>
        </w:rPr>
        <w:t xml:space="preserve">Introduction: </w:t>
      </w:r>
    </w:p>
    <w:p w:rsidR="00DE1EFC" w:rsidRDefault="00DE1EFC" w:rsidP="003B2FE9">
      <w:pPr>
        <w:spacing w:before="100" w:beforeAutospacing="1" w:after="100" w:afterAutospacing="1"/>
        <w:jc w:val="both"/>
      </w:pPr>
      <w:r>
        <w:t xml:space="preserve">Entrepreneurial marketing (EM) is an innovative, opportunity-driven, and resource-efficient approach that combines entrepreneurial thinking with marketing strategies to drive business growth in uncertain environments (Morris </w:t>
      </w:r>
      <w:r w:rsidRPr="00DE1EFC">
        <w:rPr>
          <w:i/>
          <w:iCs/>
        </w:rPr>
        <w:t>et</w:t>
      </w:r>
      <w:r>
        <w:t xml:space="preserve"> al., 2002). Unlike traditional marketing, which often follows structured and formalized processes, EM emphasizes adaptability, customer engagement, and proactive risk-taking—qualities that are especially relevant to startups and small enterprises (Miles &amp; Darroch, 2006). In the context of agribusiness, where market dynamics, resource limitations, and customer </w:t>
      </w:r>
      <w:proofErr w:type="spellStart"/>
      <w:r>
        <w:t>behaviors</w:t>
      </w:r>
      <w:proofErr w:type="spellEnd"/>
      <w:r>
        <w:t xml:space="preserve"> vary widely, EM plays a crucial role in helping </w:t>
      </w:r>
      <w:proofErr w:type="spellStart"/>
      <w:r>
        <w:t>agripreneurs</w:t>
      </w:r>
      <w:proofErr w:type="spellEnd"/>
      <w:r>
        <w:t xml:space="preserve"> create and deliver value effectively (Kraus</w:t>
      </w:r>
      <w:r w:rsidRPr="00DE1EFC">
        <w:rPr>
          <w:i/>
          <w:iCs/>
        </w:rPr>
        <w:t xml:space="preserve"> et</w:t>
      </w:r>
      <w:r>
        <w:t xml:space="preserve"> al., 2012). </w:t>
      </w:r>
    </w:p>
    <w:p w:rsidR="00DE1EFC" w:rsidRDefault="00DE1EFC" w:rsidP="003B2FE9">
      <w:pPr>
        <w:spacing w:before="100" w:beforeAutospacing="1" w:after="100" w:afterAutospacing="1"/>
        <w:jc w:val="both"/>
      </w:pPr>
      <w:proofErr w:type="spellStart"/>
      <w:r>
        <w:t>Agripreneurs</w:t>
      </w:r>
      <w:proofErr w:type="spellEnd"/>
      <w:r>
        <w:t xml:space="preserve">—entrepreneurs engaged in agriculture-related ventures—operate in a complex ecosystem influenced by seasonal trends, policy frameworks, rural consumer </w:t>
      </w:r>
      <w:proofErr w:type="spellStart"/>
      <w:r>
        <w:t>behavior</w:t>
      </w:r>
      <w:proofErr w:type="spellEnd"/>
      <w:r>
        <w:t xml:space="preserve">, and technological innovation (Linh </w:t>
      </w:r>
      <w:r w:rsidRPr="00B30601">
        <w:rPr>
          <w:i/>
          <w:iCs/>
        </w:rPr>
        <w:t>et</w:t>
      </w:r>
      <w:r>
        <w:t xml:space="preserve"> al., 2021). For these entrepreneurs, EM enables the use of creative and cost-effective tactics such as storytelling, direct selling, product demonstrations, and grassroots branding to connect with rural customers (Morris </w:t>
      </w:r>
      <w:r w:rsidRPr="00B30601">
        <w:rPr>
          <w:i/>
          <w:iCs/>
        </w:rPr>
        <w:t>et</w:t>
      </w:r>
      <w:r>
        <w:t xml:space="preserve"> al., 2002). These </w:t>
      </w:r>
      <w:r>
        <w:lastRenderedPageBreak/>
        <w:t xml:space="preserve">personalized strategies are often more impactful than mass advertising in rural settings where trust, reputation, and community engagement matter deeply (Jones &amp; Rowley, 2011).Moreover, platforms such as agricultural fairs and exhibitions provide </w:t>
      </w:r>
      <w:proofErr w:type="spellStart"/>
      <w:r>
        <w:t>agripreneurs</w:t>
      </w:r>
      <w:proofErr w:type="spellEnd"/>
      <w:r>
        <w:t xml:space="preserve"> with an opportunity to test new products, engage customers directly, and receive real-time feedback. Events like the Kisan Mela at GBPUAT Pantnagar exemplify how EM allows rural entrepreneurs to build market presence, foster innovation, and promote inclusive economic development. As </w:t>
      </w:r>
      <w:proofErr w:type="spellStart"/>
      <w:r>
        <w:t>agripreneurship</w:t>
      </w:r>
      <w:proofErr w:type="spellEnd"/>
      <w:r>
        <w:t xml:space="preserve"> gains prominence in national development agendas like </w:t>
      </w:r>
      <w:proofErr w:type="spellStart"/>
      <w:r>
        <w:t>Atmanirbhar</w:t>
      </w:r>
      <w:proofErr w:type="spellEnd"/>
      <w:r>
        <w:t xml:space="preserve"> Bharat, understanding and applying EM strategies becomes critical for building sustainable rural enterprises (</w:t>
      </w:r>
      <w:proofErr w:type="spellStart"/>
      <w:r>
        <w:t>MoA&amp;FW</w:t>
      </w:r>
      <w:proofErr w:type="spellEnd"/>
      <w:r>
        <w:t>, 2024).</w:t>
      </w:r>
      <w:r w:rsidRPr="00DE1EFC">
        <w:t xml:space="preserve"> </w:t>
      </w:r>
      <w:r w:rsidRPr="00A34689">
        <w:t xml:space="preserve">As </w:t>
      </w:r>
      <w:proofErr w:type="spellStart"/>
      <w:r w:rsidRPr="00A34689">
        <w:t>Alquatani</w:t>
      </w:r>
      <w:proofErr w:type="spellEnd"/>
      <w:r w:rsidRPr="00A34689">
        <w:t xml:space="preserve"> et al. (2021) emphasized, entrepreneurial marketing is driven by the continuous search and exploitation of opportunities, even in uncertain environments.</w:t>
      </w:r>
      <w:r w:rsidR="00E14F06">
        <w:t xml:space="preserve"> </w:t>
      </w:r>
      <w:r w:rsidRPr="00A34689">
        <w:t xml:space="preserve">Finally, calculated risk-taking was evident among </w:t>
      </w:r>
      <w:proofErr w:type="spellStart"/>
      <w:r w:rsidRPr="00A34689">
        <w:t>agripreneurs</w:t>
      </w:r>
      <w:proofErr w:type="spellEnd"/>
      <w:r w:rsidRPr="00A34689">
        <w:t xml:space="preserve"> who had diversified their offerings or invested in new packaging, branding, or product trials despite limited capital. These decisions reflect the entrepreneurial courage to experiment and absorb short-term setbacks for potential long-term gains, in line with findings from Becherer </w:t>
      </w:r>
      <w:r w:rsidRPr="006051CA">
        <w:rPr>
          <w:i/>
          <w:iCs/>
        </w:rPr>
        <w:t>et</w:t>
      </w:r>
      <w:r w:rsidRPr="00A34689">
        <w:t xml:space="preserve"> al. (2012).</w:t>
      </w:r>
    </w:p>
    <w:p w:rsidR="00263BF2" w:rsidRPr="00A34689" w:rsidRDefault="00263BF2" w:rsidP="003B2FE9">
      <w:pPr>
        <w:spacing w:before="100" w:beforeAutospacing="1" w:after="100" w:afterAutospacing="1"/>
        <w:jc w:val="both"/>
        <w:rPr>
          <w:b/>
          <w:bCs/>
        </w:rPr>
      </w:pPr>
      <w:r w:rsidRPr="00A34689">
        <w:rPr>
          <w:b/>
          <w:bCs/>
        </w:rPr>
        <w:t xml:space="preserve">Research Methodology: </w:t>
      </w:r>
    </w:p>
    <w:p w:rsidR="00B30601" w:rsidRDefault="00263BF2" w:rsidP="003B2FE9">
      <w:pPr>
        <w:spacing w:before="100" w:beforeAutospacing="1" w:after="100" w:afterAutospacing="1"/>
        <w:jc w:val="both"/>
      </w:pPr>
      <w:r w:rsidRPr="00A34689">
        <w:t xml:space="preserve">This research aims to explore the entrepreneurial marketing practices of entrepreneurs participating in Kisan Mela at GBPUAT Pantnagar using the scale developed by Alqahtani et al. The study will employ a quantitative approach through a survey of 52 </w:t>
      </w:r>
      <w:proofErr w:type="spellStart"/>
      <w:r w:rsidRPr="00A34689">
        <w:t>Agripreneurs</w:t>
      </w:r>
      <w:proofErr w:type="spellEnd"/>
      <w:r w:rsidRPr="00A34689">
        <w:t>. The questionnaire w</w:t>
      </w:r>
      <w:r w:rsidR="003C07C4">
        <w:t>as</w:t>
      </w:r>
      <w:r w:rsidRPr="00A34689">
        <w:t xml:space="preserve"> based on the ENMAR scale, measuring dimensions such as innovativeness, proactiveness, risk-taking, and customer intensity.</w:t>
      </w:r>
    </w:p>
    <w:p w:rsidR="00B30601" w:rsidRDefault="00263BF2" w:rsidP="003B2FE9">
      <w:pPr>
        <w:spacing w:before="100" w:beforeAutospacing="1" w:after="100" w:afterAutospacing="1"/>
        <w:jc w:val="both"/>
      </w:pPr>
      <w:r w:rsidRPr="00A34689">
        <w:t xml:space="preserve"> </w:t>
      </w:r>
      <w:r w:rsidR="007B50E2" w:rsidRPr="00A34689">
        <w:t xml:space="preserve">Entrepreneurial Marketing (EM) </w:t>
      </w:r>
      <w:proofErr w:type="spellStart"/>
      <w:r w:rsidR="007B50E2" w:rsidRPr="00A34689">
        <w:t>behavior</w:t>
      </w:r>
      <w:proofErr w:type="spellEnd"/>
      <w:r w:rsidR="007B50E2" w:rsidRPr="00A34689">
        <w:t xml:space="preserve"> of </w:t>
      </w:r>
      <w:r w:rsidR="00B30601">
        <w:t xml:space="preserve">52 </w:t>
      </w:r>
      <w:proofErr w:type="spellStart"/>
      <w:r w:rsidR="007B50E2" w:rsidRPr="00A34689">
        <w:t>agripreneurs</w:t>
      </w:r>
      <w:proofErr w:type="spellEnd"/>
      <w:r w:rsidR="007B50E2" w:rsidRPr="00A34689">
        <w:t xml:space="preserve"> participating in the Kisan Mela at GBPUAT, using the </w:t>
      </w:r>
      <w:proofErr w:type="spellStart"/>
      <w:r w:rsidR="007B50E2" w:rsidRPr="00A34689">
        <w:rPr>
          <w:rStyle w:val="Strong"/>
        </w:rPr>
        <w:t>Alquatani</w:t>
      </w:r>
      <w:proofErr w:type="spellEnd"/>
      <w:r w:rsidR="007B50E2" w:rsidRPr="00A34689">
        <w:rPr>
          <w:rStyle w:val="Strong"/>
        </w:rPr>
        <w:t xml:space="preserve"> EM scale</w:t>
      </w:r>
      <w:r w:rsidR="007B50E2" w:rsidRPr="00A34689">
        <w:t xml:space="preserve">. The scale comprises five core constructs: </w:t>
      </w:r>
      <w:r w:rsidR="007B50E2" w:rsidRPr="00A34689">
        <w:rPr>
          <w:rStyle w:val="Emphasis"/>
        </w:rPr>
        <w:t>Innovative Marketing, Proactive Marketing, Resource Leveraging, Network Attention,</w:t>
      </w:r>
      <w:r w:rsidR="007B50E2" w:rsidRPr="00A34689">
        <w:t xml:space="preserve"> and </w:t>
      </w:r>
      <w:r w:rsidR="007B50E2" w:rsidRPr="00A34689">
        <w:rPr>
          <w:rStyle w:val="Emphasis"/>
        </w:rPr>
        <w:t>Acceptable Risk</w:t>
      </w:r>
      <w:r w:rsidR="007B50E2" w:rsidRPr="00A34689">
        <w:t xml:space="preserve">. </w:t>
      </w:r>
    </w:p>
    <w:p w:rsidR="00263BF2" w:rsidRPr="00A34689" w:rsidRDefault="007B50E2" w:rsidP="003B2FE9">
      <w:pPr>
        <w:spacing w:before="100" w:beforeAutospacing="1" w:after="100" w:afterAutospacing="1"/>
        <w:jc w:val="both"/>
      </w:pPr>
      <w:r w:rsidRPr="00A34689">
        <w:t xml:space="preserve">Respondents rated multiple items under each construct using a 5-point Likert scale. To assess the </w:t>
      </w:r>
      <w:r w:rsidRPr="00A34689">
        <w:rPr>
          <w:rStyle w:val="Strong"/>
        </w:rPr>
        <w:t>reliability and internal consistency</w:t>
      </w:r>
      <w:r w:rsidRPr="00A34689">
        <w:t xml:space="preserve"> of the scale, </w:t>
      </w:r>
      <w:r w:rsidRPr="00A34689">
        <w:rPr>
          <w:rStyle w:val="Strong"/>
        </w:rPr>
        <w:t>Cronbach’s Alpha</w:t>
      </w:r>
      <w:r w:rsidRPr="00A34689">
        <w:t xml:space="preserve"> was calculated. Additionally, inter-construct relationships were examined through a </w:t>
      </w:r>
      <w:r w:rsidRPr="00A34689">
        <w:rPr>
          <w:rStyle w:val="Strong"/>
        </w:rPr>
        <w:t>correlation matrix</w:t>
      </w:r>
      <w:r w:rsidR="00E771A1" w:rsidRPr="00A34689">
        <w:rPr>
          <w:rStyle w:val="Strong"/>
        </w:rPr>
        <w:t xml:space="preserve">. </w:t>
      </w:r>
    </w:p>
    <w:p w:rsidR="007B50E2" w:rsidRDefault="00DF308D" w:rsidP="003B2FE9">
      <w:pPr>
        <w:spacing w:before="100" w:beforeAutospacing="1" w:after="100" w:afterAutospacing="1"/>
        <w:jc w:val="both"/>
        <w:rPr>
          <w:b/>
          <w:bCs/>
        </w:rPr>
      </w:pPr>
      <w:r w:rsidRPr="00A34689">
        <w:rPr>
          <w:b/>
          <w:bCs/>
        </w:rPr>
        <w:t>Results and Discussions:</w:t>
      </w:r>
      <w:r w:rsidR="007B50E2" w:rsidRPr="00A34689">
        <w:rPr>
          <w:b/>
          <w:bCs/>
        </w:rPr>
        <w:t xml:space="preserve"> </w:t>
      </w:r>
    </w:p>
    <w:p w:rsidR="00DE1EFC" w:rsidRDefault="00DE1EFC" w:rsidP="003B2FE9">
      <w:pPr>
        <w:spacing w:before="100" w:beforeAutospacing="1" w:after="100" w:afterAutospacing="1"/>
        <w:jc w:val="both"/>
        <w:rPr>
          <w:b/>
          <w:bCs/>
        </w:rPr>
      </w:pPr>
      <w:r>
        <w:rPr>
          <w:b/>
          <w:bCs/>
        </w:rPr>
        <w:t>Socio</w:t>
      </w:r>
      <w:r w:rsidR="00305936">
        <w:rPr>
          <w:b/>
          <w:bCs/>
        </w:rPr>
        <w:t>-</w:t>
      </w:r>
      <w:r>
        <w:rPr>
          <w:b/>
          <w:bCs/>
        </w:rPr>
        <w:t xml:space="preserve"> economic </w:t>
      </w:r>
      <w:proofErr w:type="spellStart"/>
      <w:r>
        <w:rPr>
          <w:b/>
          <w:bCs/>
        </w:rPr>
        <w:t>Characterstics</w:t>
      </w:r>
      <w:proofErr w:type="spellEnd"/>
      <w:r>
        <w:rPr>
          <w:b/>
          <w:bCs/>
        </w:rPr>
        <w:t xml:space="preserve"> of </w:t>
      </w:r>
      <w:proofErr w:type="spellStart"/>
      <w:r>
        <w:rPr>
          <w:b/>
          <w:bCs/>
        </w:rPr>
        <w:t>Agripreneurs</w:t>
      </w:r>
      <w:proofErr w:type="spellEnd"/>
      <w:r>
        <w:rPr>
          <w:b/>
          <w:bCs/>
        </w:rPr>
        <w:t xml:space="preserve"> </w:t>
      </w:r>
    </w:p>
    <w:p w:rsidR="00305936" w:rsidRPr="00305936" w:rsidRDefault="00305936" w:rsidP="003B2FE9">
      <w:pPr>
        <w:spacing w:before="100" w:beforeAutospacing="1" w:after="100" w:afterAutospacing="1"/>
        <w:jc w:val="both"/>
      </w:pPr>
      <w:r w:rsidRPr="00305936">
        <w:t xml:space="preserve">The socioeconomic profile of the 52 </w:t>
      </w:r>
      <w:proofErr w:type="spellStart"/>
      <w:r w:rsidRPr="00305936">
        <w:t>agripreneurs</w:t>
      </w:r>
      <w:proofErr w:type="spellEnd"/>
      <w:r w:rsidRPr="00305936">
        <w:t xml:space="preserve"> surveyed during the study reveals insightful patterns in terms of age, income, investment levels, and educational background. These characteristics play a significant role in shaping entrepreneurial </w:t>
      </w:r>
      <w:proofErr w:type="spellStart"/>
      <w:r w:rsidRPr="00305936">
        <w:t>behavior</w:t>
      </w:r>
      <w:proofErr w:type="spellEnd"/>
      <w:r w:rsidRPr="00305936">
        <w:t>, resource utilization, and marketing strategies.</w:t>
      </w:r>
    </w:p>
    <w:p w:rsidR="00305936" w:rsidRPr="00305936" w:rsidRDefault="00305936" w:rsidP="003B2FE9">
      <w:pPr>
        <w:spacing w:before="100" w:beforeAutospacing="1" w:after="100" w:afterAutospacing="1"/>
        <w:jc w:val="both"/>
        <w:outlineLvl w:val="3"/>
        <w:rPr>
          <w:b/>
          <w:bCs/>
        </w:rPr>
      </w:pPr>
      <w:r w:rsidRPr="00305936">
        <w:rPr>
          <w:b/>
          <w:bCs/>
        </w:rPr>
        <w:t>Age Distribution</w:t>
      </w:r>
    </w:p>
    <w:p w:rsidR="00305936" w:rsidRPr="00305936" w:rsidRDefault="00305936" w:rsidP="003B2FE9">
      <w:pPr>
        <w:spacing w:before="100" w:beforeAutospacing="1" w:after="100" w:afterAutospacing="1"/>
        <w:jc w:val="both"/>
      </w:pPr>
      <w:r w:rsidRPr="00305936">
        <w:t xml:space="preserve">The age of </w:t>
      </w:r>
      <w:proofErr w:type="spellStart"/>
      <w:r w:rsidRPr="00305936">
        <w:t>agripreneurs</w:t>
      </w:r>
      <w:proofErr w:type="spellEnd"/>
      <w:r w:rsidRPr="00305936">
        <w:t xml:space="preserve"> ranged from </w:t>
      </w:r>
      <w:r w:rsidRPr="00305936">
        <w:rPr>
          <w:b/>
          <w:bCs/>
        </w:rPr>
        <w:t>20 to 50 years</w:t>
      </w:r>
      <w:r w:rsidRPr="00305936">
        <w:t xml:space="preserve">, with the majority (46.2%) falling in the </w:t>
      </w:r>
      <w:r w:rsidRPr="00305936">
        <w:rPr>
          <w:b/>
          <w:bCs/>
        </w:rPr>
        <w:t>30–39 years</w:t>
      </w:r>
      <w:r w:rsidRPr="00305936">
        <w:t xml:space="preserve"> category. Around 23.1% of the respondents were aged </w:t>
      </w:r>
      <w:r w:rsidRPr="00305936">
        <w:rPr>
          <w:b/>
          <w:bCs/>
        </w:rPr>
        <w:t>20–29 years</w:t>
      </w:r>
      <w:r w:rsidRPr="00305936">
        <w:t xml:space="preserve">, 25.0% were in the </w:t>
      </w:r>
      <w:r w:rsidRPr="00305936">
        <w:rPr>
          <w:b/>
          <w:bCs/>
        </w:rPr>
        <w:t>40–49 years</w:t>
      </w:r>
      <w:r w:rsidRPr="00305936">
        <w:t xml:space="preserve"> bracket, and only 5.7% were aged </w:t>
      </w:r>
      <w:r w:rsidRPr="00305936">
        <w:rPr>
          <w:b/>
          <w:bCs/>
        </w:rPr>
        <w:t>50 years and above</w:t>
      </w:r>
      <w:r w:rsidRPr="00305936">
        <w:t xml:space="preserve">. This indicates that a significant proportion of </w:t>
      </w:r>
      <w:proofErr w:type="spellStart"/>
      <w:r w:rsidRPr="00305936">
        <w:t>agripreneurs</w:t>
      </w:r>
      <w:proofErr w:type="spellEnd"/>
      <w:r w:rsidRPr="00305936">
        <w:t xml:space="preserve"> belong to the young and middle-aged category, which is generally associated with greater energy, innovation, and openness to adopting new </w:t>
      </w:r>
      <w:r w:rsidRPr="00305936">
        <w:lastRenderedPageBreak/>
        <w:t>marketing strategies.</w:t>
      </w:r>
      <w:r w:rsidR="0060779C">
        <w:t xml:space="preserve"> These findings are supported by Lumpkin and Dess (1996) and Urbano and </w:t>
      </w:r>
      <w:proofErr w:type="spellStart"/>
      <w:r w:rsidR="0060779C">
        <w:t>Turró</w:t>
      </w:r>
      <w:proofErr w:type="spellEnd"/>
      <w:r w:rsidR="0060779C">
        <w:t xml:space="preserve"> (2013).</w:t>
      </w:r>
    </w:p>
    <w:p w:rsidR="00305936" w:rsidRPr="00305936" w:rsidRDefault="00305936" w:rsidP="003B2FE9">
      <w:pPr>
        <w:spacing w:before="100" w:beforeAutospacing="1" w:after="100" w:afterAutospacing="1"/>
        <w:jc w:val="both"/>
        <w:outlineLvl w:val="3"/>
        <w:rPr>
          <w:b/>
          <w:bCs/>
        </w:rPr>
      </w:pPr>
      <w:r w:rsidRPr="00305936">
        <w:rPr>
          <w:b/>
          <w:bCs/>
        </w:rPr>
        <w:t xml:space="preserve"> Monthly Income</w:t>
      </w:r>
    </w:p>
    <w:p w:rsidR="00305936" w:rsidRDefault="00305936" w:rsidP="003B2FE9">
      <w:pPr>
        <w:spacing w:before="100" w:beforeAutospacing="1" w:after="100" w:afterAutospacing="1"/>
        <w:jc w:val="both"/>
      </w:pPr>
      <w:r w:rsidRPr="00305936">
        <w:t xml:space="preserve">The monthly income of </w:t>
      </w:r>
      <w:proofErr w:type="spellStart"/>
      <w:r w:rsidRPr="00305936">
        <w:t>agripreneurs</w:t>
      </w:r>
      <w:proofErr w:type="spellEnd"/>
      <w:r w:rsidRPr="00305936">
        <w:t xml:space="preserve"> showed considerable variation, ranging from </w:t>
      </w:r>
      <w:r w:rsidRPr="00305936">
        <w:rPr>
          <w:b/>
          <w:bCs/>
        </w:rPr>
        <w:t>₹10,000 to ₹40,000</w:t>
      </w:r>
      <w:r w:rsidRPr="00305936">
        <w:t xml:space="preserve">. The highest proportion (34.6%) earned between </w:t>
      </w:r>
      <w:r w:rsidRPr="00305936">
        <w:rPr>
          <w:b/>
          <w:bCs/>
        </w:rPr>
        <w:t>₹16,000 – ₹25,000</w:t>
      </w:r>
      <w:r w:rsidRPr="00305936">
        <w:t xml:space="preserve">, followed by 30.8% earning </w:t>
      </w:r>
      <w:r w:rsidRPr="00305936">
        <w:rPr>
          <w:b/>
          <w:bCs/>
        </w:rPr>
        <w:t>₹26,000 – ₹35,000</w:t>
      </w:r>
      <w:r w:rsidRPr="00305936">
        <w:t>. About 19.2% earned less than ₹15,000 per month, while 15.4% reported incomes above ₹35,000. These figures reflect a mix of subsistence-level and moderately profitable agribusinesses, highlighting the need for targeted support and resource optimization.</w:t>
      </w:r>
      <w:r w:rsidR="00DE7193" w:rsidRPr="00DE7193">
        <w:t xml:space="preserve"> </w:t>
      </w:r>
      <w:r w:rsidR="00DE7193">
        <w:t xml:space="preserve">A majority of </w:t>
      </w:r>
      <w:proofErr w:type="spellStart"/>
      <w:r w:rsidR="00DE7193">
        <w:t>agripreneurs</w:t>
      </w:r>
      <w:proofErr w:type="spellEnd"/>
      <w:r w:rsidR="00DE7193">
        <w:t xml:space="preserve"> earning between ₹16,000 to ₹25,000 (34.6%) aligns with findings by Patel (2021), who reported that small-scale agribusiness owners often attain modest profitability due to limited capital investment and market access.</w:t>
      </w:r>
    </w:p>
    <w:p w:rsidR="00305936" w:rsidRPr="00305936" w:rsidRDefault="00305936" w:rsidP="003B2FE9">
      <w:pPr>
        <w:spacing w:before="100" w:beforeAutospacing="1" w:after="100" w:afterAutospacing="1"/>
        <w:jc w:val="both"/>
      </w:pPr>
      <w:r w:rsidRPr="00305936">
        <w:rPr>
          <w:b/>
          <w:bCs/>
        </w:rPr>
        <w:t xml:space="preserve"> Investment in Agribusiness</w:t>
      </w:r>
    </w:p>
    <w:p w:rsidR="00305936" w:rsidRPr="00DE7193" w:rsidRDefault="00305936" w:rsidP="003B2FE9">
      <w:pPr>
        <w:spacing w:before="100" w:beforeAutospacing="1" w:after="100" w:afterAutospacing="1"/>
        <w:jc w:val="both"/>
      </w:pPr>
      <w:r w:rsidRPr="00DE7193">
        <w:t xml:space="preserve">In terms of investment, the majority (34.6%) had invested between ₹1,21,000 and ₹2,00,000 in their ventures. Around 26.9% invested between ₹71,000 and ₹1,20,000, while 23.1% had higher investments ranging from ₹2,01,000 to ₹3,00,000. Only 15.4% had investments below ₹70,000. These results suggest that many </w:t>
      </w:r>
      <w:proofErr w:type="spellStart"/>
      <w:r w:rsidRPr="00DE7193">
        <w:t>agripreneurs</w:t>
      </w:r>
      <w:proofErr w:type="spellEnd"/>
      <w:r w:rsidRPr="00DE7193">
        <w:t xml:space="preserve"> are willing to take financial risks and invest significantly in their businesses, reflecting entrepreneurial intent and growth orientation.</w:t>
      </w:r>
      <w:r w:rsidR="00DE7193" w:rsidRPr="00DE7193">
        <w:t xml:space="preserve"> The finding that the majority (34.6%) of </w:t>
      </w:r>
      <w:proofErr w:type="spellStart"/>
      <w:r w:rsidR="00DE7193" w:rsidRPr="00DE7193">
        <w:t>agripreneurs</w:t>
      </w:r>
      <w:proofErr w:type="spellEnd"/>
      <w:r w:rsidR="00DE7193" w:rsidRPr="00DE7193">
        <w:t xml:space="preserve"> invested between ₹1,21,000 and ₹2,00,000 reflects a strong entrepreneurial commitment, consistent with the observations of Mehta and Jha (2021), who reported that medium-scale investments often correlate with moderate business expansion and income growth.</w:t>
      </w:r>
    </w:p>
    <w:p w:rsidR="00305936" w:rsidRPr="00305936" w:rsidRDefault="00305936" w:rsidP="003B2FE9">
      <w:pPr>
        <w:spacing w:before="100" w:beforeAutospacing="1" w:after="100" w:afterAutospacing="1"/>
        <w:jc w:val="both"/>
        <w:outlineLvl w:val="3"/>
        <w:rPr>
          <w:b/>
          <w:bCs/>
        </w:rPr>
      </w:pPr>
      <w:r w:rsidRPr="00305936">
        <w:rPr>
          <w:b/>
          <w:bCs/>
        </w:rPr>
        <w:t>Educational Background</w:t>
      </w:r>
    </w:p>
    <w:p w:rsidR="00305936" w:rsidRPr="00305936" w:rsidRDefault="00305936" w:rsidP="003B2FE9">
      <w:pPr>
        <w:spacing w:before="100" w:beforeAutospacing="1" w:after="100" w:afterAutospacing="1"/>
        <w:jc w:val="both"/>
      </w:pPr>
      <w:r w:rsidRPr="00305936">
        <w:t xml:space="preserve">Education levels varied among the </w:t>
      </w:r>
      <w:proofErr w:type="spellStart"/>
      <w:r w:rsidRPr="00305936">
        <w:t>agripreneurs</w:t>
      </w:r>
      <w:proofErr w:type="spellEnd"/>
      <w:r w:rsidRPr="00305936">
        <w:t xml:space="preserve">, with </w:t>
      </w:r>
      <w:r w:rsidRPr="00305936">
        <w:rPr>
          <w:b/>
          <w:bCs/>
        </w:rPr>
        <w:t>44.2% being graduates</w:t>
      </w:r>
      <w:r w:rsidRPr="00305936">
        <w:t xml:space="preserve"> and </w:t>
      </w:r>
      <w:r w:rsidRPr="00305936">
        <w:rPr>
          <w:b/>
          <w:bCs/>
        </w:rPr>
        <w:t>21.2% postgraduates</w:t>
      </w:r>
      <w:r w:rsidRPr="00305936">
        <w:t xml:space="preserve">, suggesting a relatively well-educated respondent base. Meanwhile, 25.0% had completed higher secondary education, and 9.6% had only secondary-level schooling. This indicates that a significant portion of </w:t>
      </w:r>
      <w:proofErr w:type="spellStart"/>
      <w:r w:rsidRPr="00305936">
        <w:t>agripreneurs</w:t>
      </w:r>
      <w:proofErr w:type="spellEnd"/>
      <w:r w:rsidRPr="00305936">
        <w:t xml:space="preserve"> possess the educational background necessary to understand and apply entrepreneurial marketing principles effectively.</w:t>
      </w:r>
    </w:p>
    <w:p w:rsidR="00305936" w:rsidRPr="00305936" w:rsidRDefault="00305936" w:rsidP="003B2FE9">
      <w:pPr>
        <w:spacing w:before="100" w:beforeAutospacing="1" w:after="100" w:afterAutospacing="1"/>
        <w:jc w:val="both"/>
        <w:rPr>
          <w:b/>
          <w:bCs/>
        </w:rPr>
      </w:pPr>
      <w:r w:rsidRPr="00305936">
        <w:rPr>
          <w:b/>
          <w:bCs/>
        </w:rPr>
        <w:t xml:space="preserve">Table 1: Combined Socioeconomic Characteristics of </w:t>
      </w:r>
      <w:proofErr w:type="spellStart"/>
      <w:r w:rsidRPr="00305936">
        <w:rPr>
          <w:b/>
          <w:bCs/>
        </w:rPr>
        <w:t>Agripreneurs</w:t>
      </w:r>
      <w:proofErr w:type="spellEnd"/>
      <w:r w:rsidRPr="00305936">
        <w:rPr>
          <w:b/>
          <w:bCs/>
        </w:rPr>
        <w:t xml:space="preserve"> (n = 52)</w:t>
      </w:r>
    </w:p>
    <w:tbl>
      <w:tblPr>
        <w:tblW w:w="9716" w:type="dxa"/>
        <w:tblCellMar>
          <w:left w:w="0" w:type="dxa"/>
          <w:right w:w="0" w:type="dxa"/>
        </w:tblCellMar>
        <w:tblLook w:val="04A0" w:firstRow="1" w:lastRow="0" w:firstColumn="1" w:lastColumn="0" w:noHBand="0" w:noVBand="1"/>
      </w:tblPr>
      <w:tblGrid>
        <w:gridCol w:w="2086"/>
        <w:gridCol w:w="2881"/>
        <w:gridCol w:w="2726"/>
        <w:gridCol w:w="2023"/>
      </w:tblGrid>
      <w:tr w:rsidR="00305936" w:rsidTr="00305936">
        <w:trPr>
          <w:trHeight w:val="324"/>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b/>
                <w:bCs/>
                <w:sz w:val="20"/>
                <w:szCs w:val="20"/>
              </w:rPr>
            </w:pPr>
            <w:r>
              <w:rPr>
                <w:rFonts w:ascii="Arial" w:hAnsi="Arial" w:cs="Arial"/>
                <w:b/>
                <w:bCs/>
                <w:sz w:val="20"/>
                <w:szCs w:val="20"/>
              </w:rPr>
              <w:t>Category</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b/>
                <w:bCs/>
                <w:sz w:val="20"/>
                <w:szCs w:val="20"/>
              </w:rPr>
            </w:pPr>
            <w:r>
              <w:rPr>
                <w:rFonts w:ascii="Arial" w:hAnsi="Arial" w:cs="Arial"/>
                <w:b/>
                <w:bCs/>
                <w:sz w:val="20"/>
                <w:szCs w:val="20"/>
              </w:rPr>
              <w:t>Range / Level</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b/>
                <w:bCs/>
                <w:sz w:val="20"/>
                <w:szCs w:val="20"/>
              </w:rPr>
            </w:pPr>
            <w:r>
              <w:rPr>
                <w:rFonts w:ascii="Arial" w:hAnsi="Arial" w:cs="Arial"/>
                <w:b/>
                <w:bCs/>
                <w:sz w:val="20"/>
                <w:szCs w:val="20"/>
              </w:rPr>
              <w:t>No. of Respondents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b/>
                <w:bCs/>
                <w:sz w:val="20"/>
                <w:szCs w:val="20"/>
              </w:rPr>
            </w:pPr>
            <w:r>
              <w:rPr>
                <w:rFonts w:ascii="Arial" w:hAnsi="Arial" w:cs="Arial"/>
                <w:b/>
                <w:bCs/>
                <w:sz w:val="20"/>
                <w:szCs w:val="20"/>
              </w:rPr>
              <w:t>Frequency (%)</w:t>
            </w:r>
          </w:p>
        </w:tc>
      </w:tr>
      <w:tr w:rsidR="00305936" w:rsidTr="00305936">
        <w:trPr>
          <w:trHeight w:val="324"/>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Age (Years)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20–29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23.10%</w:t>
            </w:r>
          </w:p>
        </w:tc>
      </w:tr>
      <w:tr w:rsidR="00305936" w:rsidTr="00305936">
        <w:trPr>
          <w:trHeight w:val="324"/>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30–39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46.20%</w:t>
            </w:r>
          </w:p>
        </w:tc>
      </w:tr>
      <w:tr w:rsidR="00305936" w:rsidTr="00305936">
        <w:trPr>
          <w:trHeight w:val="324"/>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40–49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25.00%</w:t>
            </w:r>
          </w:p>
        </w:tc>
      </w:tr>
      <w:tr w:rsidR="00305936" w:rsidTr="00305936">
        <w:trPr>
          <w:trHeight w:val="324"/>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50 and above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5.70%</w:t>
            </w:r>
          </w:p>
        </w:tc>
      </w:tr>
      <w:tr w:rsidR="00305936" w:rsidTr="00305936">
        <w:trPr>
          <w:trHeight w:val="324"/>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Monthly Income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₹10,000 – ₹15,000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19.20%</w:t>
            </w:r>
          </w:p>
        </w:tc>
      </w:tr>
      <w:tr w:rsidR="00305936" w:rsidTr="00305936">
        <w:trPr>
          <w:trHeight w:val="324"/>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₹16,000 – ₹25,000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34.60%</w:t>
            </w:r>
          </w:p>
        </w:tc>
      </w:tr>
      <w:tr w:rsidR="00305936" w:rsidTr="00305936">
        <w:trPr>
          <w:trHeight w:val="324"/>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₹26,000 – ₹35,000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30.80%</w:t>
            </w:r>
          </w:p>
        </w:tc>
      </w:tr>
      <w:tr w:rsidR="00305936" w:rsidTr="00305936">
        <w:trPr>
          <w:trHeight w:val="324"/>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₹36,000 – ₹40,000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15.40%</w:t>
            </w:r>
          </w:p>
        </w:tc>
      </w:tr>
      <w:tr w:rsidR="00305936" w:rsidTr="00305936">
        <w:trPr>
          <w:trHeight w:val="324"/>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lastRenderedPageBreak/>
              <w:t>Investment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₹30,000 – ₹70,000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15.40%</w:t>
            </w:r>
          </w:p>
        </w:tc>
      </w:tr>
      <w:tr w:rsidR="00305936" w:rsidTr="00305936">
        <w:trPr>
          <w:trHeight w:val="324"/>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₹71,000 – ₹1,20,000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26.90%</w:t>
            </w:r>
          </w:p>
        </w:tc>
      </w:tr>
      <w:tr w:rsidR="00305936" w:rsidTr="00305936">
        <w:trPr>
          <w:trHeight w:val="324"/>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₹1,21,000 – ₹2,00,000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34.60%</w:t>
            </w:r>
          </w:p>
        </w:tc>
      </w:tr>
      <w:tr w:rsidR="00305936" w:rsidTr="00305936">
        <w:trPr>
          <w:trHeight w:val="324"/>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₹2,01,000 – ₹3,00,000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23.10%</w:t>
            </w:r>
          </w:p>
        </w:tc>
      </w:tr>
      <w:tr w:rsidR="00305936" w:rsidTr="00305936">
        <w:trPr>
          <w:trHeight w:val="324"/>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Education Level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Secondary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9.60%</w:t>
            </w:r>
          </w:p>
        </w:tc>
      </w:tr>
      <w:tr w:rsidR="00305936" w:rsidTr="00305936">
        <w:trPr>
          <w:trHeight w:val="324"/>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Higher Secondary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25.00%</w:t>
            </w:r>
          </w:p>
        </w:tc>
      </w:tr>
      <w:tr w:rsidR="00305936" w:rsidTr="00305936">
        <w:trPr>
          <w:trHeight w:val="324"/>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Graduation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44.20%</w:t>
            </w:r>
          </w:p>
        </w:tc>
      </w:tr>
      <w:tr w:rsidR="00305936" w:rsidTr="00305936">
        <w:trPr>
          <w:trHeight w:val="324"/>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Post-Graduation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5936" w:rsidRDefault="00305936" w:rsidP="003B2FE9">
            <w:pPr>
              <w:jc w:val="both"/>
              <w:rPr>
                <w:rFonts w:ascii="Arial" w:hAnsi="Arial" w:cs="Arial"/>
                <w:sz w:val="20"/>
                <w:szCs w:val="20"/>
              </w:rPr>
            </w:pPr>
            <w:r>
              <w:rPr>
                <w:rFonts w:ascii="Arial" w:hAnsi="Arial" w:cs="Arial"/>
                <w:sz w:val="20"/>
                <w:szCs w:val="20"/>
              </w:rPr>
              <w:t>21.20%</w:t>
            </w:r>
          </w:p>
        </w:tc>
      </w:tr>
    </w:tbl>
    <w:p w:rsidR="00DE7193" w:rsidRDefault="00DE7193" w:rsidP="003B2FE9">
      <w:pPr>
        <w:spacing w:before="100" w:beforeAutospacing="1" w:after="100" w:afterAutospacing="1"/>
        <w:jc w:val="both"/>
        <w:rPr>
          <w:b/>
          <w:bCs/>
        </w:rPr>
      </w:pPr>
    </w:p>
    <w:p w:rsidR="00E14F06" w:rsidRDefault="00305936" w:rsidP="003B2FE9">
      <w:pPr>
        <w:spacing w:before="100" w:beforeAutospacing="1" w:after="100" w:afterAutospacing="1"/>
        <w:jc w:val="both"/>
        <w:rPr>
          <w:b/>
          <w:bCs/>
        </w:rPr>
      </w:pPr>
      <w:r>
        <w:rPr>
          <w:b/>
          <w:bCs/>
        </w:rPr>
        <w:t xml:space="preserve">Entrepreneurial Marketing of </w:t>
      </w:r>
      <w:proofErr w:type="spellStart"/>
      <w:r>
        <w:rPr>
          <w:b/>
          <w:bCs/>
        </w:rPr>
        <w:t>Agripreneurs</w:t>
      </w:r>
      <w:proofErr w:type="spellEnd"/>
      <w:r>
        <w:rPr>
          <w:b/>
          <w:bCs/>
        </w:rPr>
        <w:t xml:space="preserve"> </w:t>
      </w:r>
    </w:p>
    <w:p w:rsidR="00043A8B" w:rsidRPr="00043A8B" w:rsidRDefault="00043A8B" w:rsidP="003B2FE9">
      <w:pPr>
        <w:spacing w:before="100" w:beforeAutospacing="1" w:after="100" w:afterAutospacing="1"/>
        <w:jc w:val="both"/>
        <w:outlineLvl w:val="3"/>
        <w:rPr>
          <w:b/>
          <w:bCs/>
          <w:color w:val="000000"/>
        </w:rPr>
      </w:pPr>
      <w:r w:rsidRPr="00043A8B">
        <w:rPr>
          <w:b/>
          <w:bCs/>
          <w:color w:val="000000"/>
        </w:rPr>
        <w:t>Innovativeness</w:t>
      </w:r>
    </w:p>
    <w:p w:rsidR="00043A8B" w:rsidRPr="00043A8B" w:rsidRDefault="00043A8B" w:rsidP="003B2FE9">
      <w:pPr>
        <w:spacing w:before="100" w:beforeAutospacing="1" w:after="100" w:afterAutospacing="1"/>
        <w:jc w:val="both"/>
        <w:rPr>
          <w:color w:val="000000"/>
        </w:rPr>
      </w:pPr>
      <w:r w:rsidRPr="00043A8B">
        <w:rPr>
          <w:color w:val="000000"/>
        </w:rPr>
        <w:t>The analysis revealed that a significant majority of respondents (67.30%) rated their organization’s innovativeness as high. Only 21.15% rated it low, while 11.54% fell into the moderate category. This suggests that most firms consider themselves capable of adopting novel marketing practices, pricing strategies, and communication approaches—an important strength in today’s competitive landscape.</w:t>
      </w:r>
      <w:r w:rsidR="00DE7193" w:rsidRPr="00DE7193">
        <w:t xml:space="preserve"> </w:t>
      </w:r>
      <w:proofErr w:type="spellStart"/>
      <w:r w:rsidR="00DE7193">
        <w:t>Calantone</w:t>
      </w:r>
      <w:proofErr w:type="spellEnd"/>
      <w:r w:rsidR="00DE7193">
        <w:t xml:space="preserve"> </w:t>
      </w:r>
      <w:r w:rsidR="00DE7193" w:rsidRPr="00DE7193">
        <w:rPr>
          <w:i/>
          <w:iCs/>
        </w:rPr>
        <w:t>et.</w:t>
      </w:r>
      <w:r w:rsidR="00DE7193">
        <w:t xml:space="preserve"> al (2002) point out that firms with low innovativeness often face challenges in responding to market changes and may lag behind more agile competitors.</w:t>
      </w:r>
    </w:p>
    <w:p w:rsidR="00043A8B" w:rsidRPr="00043A8B" w:rsidRDefault="00043A8B" w:rsidP="003B2FE9">
      <w:pPr>
        <w:spacing w:before="100" w:beforeAutospacing="1" w:after="100" w:afterAutospacing="1"/>
        <w:jc w:val="both"/>
        <w:outlineLvl w:val="3"/>
        <w:rPr>
          <w:b/>
          <w:bCs/>
          <w:color w:val="000000"/>
        </w:rPr>
      </w:pPr>
      <w:r w:rsidRPr="00043A8B">
        <w:rPr>
          <w:b/>
          <w:bCs/>
          <w:color w:val="000000"/>
        </w:rPr>
        <w:t>Proactive Marketing</w:t>
      </w:r>
    </w:p>
    <w:p w:rsidR="004F465E" w:rsidRPr="00043A8B" w:rsidRDefault="00043A8B" w:rsidP="003B2FE9">
      <w:pPr>
        <w:spacing w:before="100" w:beforeAutospacing="1" w:after="100" w:afterAutospacing="1"/>
        <w:jc w:val="both"/>
        <w:rPr>
          <w:color w:val="000000"/>
        </w:rPr>
      </w:pPr>
      <w:r w:rsidRPr="00043A8B">
        <w:rPr>
          <w:color w:val="000000"/>
        </w:rPr>
        <w:t>For proactive marketing, 51.92% of the participants indicated high levels, reflecting a proactive orientation in anticipating customer needs and adapting to market changes. Meanwhile, 26.92% of responses fell into the low category, and 21.15% were moderate. This result indicates that while a proactive mindset exists in over half the organizations, a significant proportion still lacks forward-thinking marketing strategies.</w:t>
      </w:r>
    </w:p>
    <w:p w:rsidR="00043A8B" w:rsidRPr="00043A8B" w:rsidRDefault="00043A8B" w:rsidP="003B2FE9">
      <w:pPr>
        <w:spacing w:before="100" w:beforeAutospacing="1" w:after="100" w:afterAutospacing="1"/>
        <w:jc w:val="both"/>
        <w:outlineLvl w:val="3"/>
        <w:rPr>
          <w:b/>
          <w:bCs/>
          <w:color w:val="000000"/>
        </w:rPr>
      </w:pPr>
      <w:r w:rsidRPr="00043A8B">
        <w:rPr>
          <w:b/>
          <w:bCs/>
          <w:color w:val="000000"/>
        </w:rPr>
        <w:t>Network Attention</w:t>
      </w:r>
    </w:p>
    <w:p w:rsidR="00043A8B" w:rsidRPr="00043A8B" w:rsidRDefault="00043A8B" w:rsidP="003B2FE9">
      <w:pPr>
        <w:spacing w:before="100" w:beforeAutospacing="1" w:after="100" w:afterAutospacing="1"/>
        <w:jc w:val="both"/>
        <w:rPr>
          <w:color w:val="000000"/>
        </w:rPr>
      </w:pPr>
      <w:r w:rsidRPr="00043A8B">
        <w:rPr>
          <w:color w:val="000000"/>
        </w:rPr>
        <w:t>Network attention was identified as relatively lower compared to other constructs, with only 48.07% of respondents reporting high levels. A notable 28.84% of respondents rated their organization’s network attention as low, and 23.08% as moderate. These findings suggest that many organizations may not be fully leveraging insights from stakeholders and partners, which can limit opportunities for strategic collaboration and knowledge sharing.</w:t>
      </w:r>
    </w:p>
    <w:p w:rsidR="00043A8B" w:rsidRPr="00043A8B" w:rsidRDefault="00043A8B" w:rsidP="003B2FE9">
      <w:pPr>
        <w:spacing w:before="100" w:beforeAutospacing="1" w:after="100" w:afterAutospacing="1"/>
        <w:jc w:val="both"/>
        <w:outlineLvl w:val="3"/>
        <w:rPr>
          <w:b/>
          <w:bCs/>
          <w:color w:val="000000"/>
        </w:rPr>
      </w:pPr>
      <w:r w:rsidRPr="00043A8B">
        <w:rPr>
          <w:b/>
          <w:bCs/>
          <w:color w:val="000000"/>
        </w:rPr>
        <w:t>Resource Leveraging</w:t>
      </w:r>
    </w:p>
    <w:p w:rsidR="00043A8B" w:rsidRPr="00043A8B" w:rsidRDefault="00043A8B" w:rsidP="003B2FE9">
      <w:pPr>
        <w:spacing w:before="100" w:beforeAutospacing="1" w:after="100" w:afterAutospacing="1"/>
        <w:jc w:val="both"/>
        <w:rPr>
          <w:color w:val="000000"/>
        </w:rPr>
      </w:pPr>
      <w:r w:rsidRPr="00043A8B">
        <w:rPr>
          <w:color w:val="000000"/>
        </w:rPr>
        <w:t>Resource leveraging received a high rating from 55.77% of respondents, with 26.92% reporting low levels and 17.31% moderate. The relatively high percentage in the “high” category indicates that many organizations are actively collaborating and utilizing both internal and partner resources effectively. However, the one-quarter in the low category signals room for improvement in strategic resource management.</w:t>
      </w:r>
    </w:p>
    <w:p w:rsidR="00043A8B" w:rsidRPr="00043A8B" w:rsidRDefault="00043A8B" w:rsidP="003B2FE9">
      <w:pPr>
        <w:spacing w:before="100" w:beforeAutospacing="1" w:after="100" w:afterAutospacing="1"/>
        <w:jc w:val="both"/>
        <w:outlineLvl w:val="3"/>
        <w:rPr>
          <w:b/>
          <w:bCs/>
          <w:color w:val="000000"/>
        </w:rPr>
      </w:pPr>
      <w:r w:rsidRPr="00043A8B">
        <w:rPr>
          <w:b/>
          <w:bCs/>
          <w:color w:val="000000"/>
        </w:rPr>
        <w:lastRenderedPageBreak/>
        <w:t>Acceptable Risk</w:t>
      </w:r>
    </w:p>
    <w:p w:rsidR="00043A8B" w:rsidRPr="00043A8B" w:rsidRDefault="00043A8B" w:rsidP="003B2FE9">
      <w:pPr>
        <w:spacing w:before="100" w:beforeAutospacing="1" w:after="100" w:afterAutospacing="1"/>
        <w:jc w:val="both"/>
        <w:rPr>
          <w:color w:val="000000"/>
        </w:rPr>
      </w:pPr>
      <w:r w:rsidRPr="00043A8B">
        <w:rPr>
          <w:color w:val="000000"/>
        </w:rPr>
        <w:t>A majority of respondents (51.93%) reported a high level of acceptable risk, suggesting that over half of the firms are comfortable taking calculated risks to remain competitive. However, 28.84% perceived their organizations as risk-averse (low category), and 19.23% were neutral (moderate). This distribution indicates a general openness toward risk, which is essential for innovation and entrepreneurship, although some firms may still be hesitant to invest beyond their comfort zones.</w:t>
      </w:r>
    </w:p>
    <w:p w:rsidR="00043A8B" w:rsidRDefault="00043A8B" w:rsidP="003B2FE9">
      <w:pPr>
        <w:spacing w:before="100" w:beforeAutospacing="1" w:after="100" w:afterAutospacing="1"/>
        <w:jc w:val="both"/>
        <w:rPr>
          <w:b/>
          <w:bCs/>
        </w:rPr>
      </w:pPr>
      <w:r>
        <w:rPr>
          <w:b/>
          <w:bCs/>
        </w:rPr>
        <w:t xml:space="preserve">Table 2: Entrepreneurial Marketing of </w:t>
      </w:r>
      <w:proofErr w:type="spellStart"/>
      <w:r>
        <w:rPr>
          <w:b/>
          <w:bCs/>
        </w:rPr>
        <w:t>Agripreneurs</w:t>
      </w:r>
      <w:proofErr w:type="spellEnd"/>
      <w:r>
        <w:rPr>
          <w:b/>
          <w:bCs/>
        </w:rPr>
        <w:t xml:space="preserve"> in Kisan mela</w:t>
      </w:r>
      <w:r w:rsidR="00B30601">
        <w:rPr>
          <w:b/>
          <w:bCs/>
        </w:rPr>
        <w:t xml:space="preserve"> (n=52)</w:t>
      </w:r>
    </w:p>
    <w:tbl>
      <w:tblPr>
        <w:tblW w:w="9294" w:type="dxa"/>
        <w:tblCellMar>
          <w:left w:w="0" w:type="dxa"/>
          <w:right w:w="0" w:type="dxa"/>
        </w:tblCellMar>
        <w:tblLook w:val="04A0" w:firstRow="1" w:lastRow="0" w:firstColumn="1" w:lastColumn="0" w:noHBand="0" w:noVBand="1"/>
      </w:tblPr>
      <w:tblGrid>
        <w:gridCol w:w="3367"/>
        <w:gridCol w:w="2088"/>
        <w:gridCol w:w="1863"/>
        <w:gridCol w:w="1976"/>
      </w:tblGrid>
      <w:tr w:rsidR="00043A8B" w:rsidTr="00043A8B">
        <w:trPr>
          <w:trHeight w:val="350"/>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b/>
                <w:bCs/>
                <w:sz w:val="20"/>
                <w:szCs w:val="20"/>
              </w:rPr>
            </w:pPr>
            <w:r>
              <w:rPr>
                <w:rFonts w:ascii="Arial" w:hAnsi="Arial" w:cs="Arial"/>
                <w:b/>
                <w:bCs/>
                <w:sz w:val="20"/>
                <w:szCs w:val="20"/>
              </w:rPr>
              <w:t>Variable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b/>
                <w:bCs/>
                <w:sz w:val="20"/>
                <w:szCs w:val="20"/>
              </w:rPr>
            </w:pPr>
            <w:r>
              <w:rPr>
                <w:rFonts w:ascii="Arial" w:hAnsi="Arial" w:cs="Arial"/>
                <w:b/>
                <w:bCs/>
                <w:sz w:val="20"/>
                <w:szCs w:val="20"/>
              </w:rPr>
              <w:t>Range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b/>
                <w:bCs/>
                <w:sz w:val="20"/>
                <w:szCs w:val="20"/>
              </w:rPr>
            </w:pPr>
            <w:r>
              <w:rPr>
                <w:rFonts w:ascii="Arial" w:hAnsi="Arial" w:cs="Arial"/>
                <w:b/>
                <w:bCs/>
                <w:sz w:val="20"/>
                <w:szCs w:val="20"/>
              </w:rPr>
              <w:t>Frequency</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b/>
                <w:bCs/>
                <w:sz w:val="20"/>
                <w:szCs w:val="20"/>
              </w:rPr>
            </w:pPr>
            <w:r>
              <w:rPr>
                <w:rFonts w:ascii="Arial" w:hAnsi="Arial" w:cs="Arial"/>
                <w:b/>
                <w:bCs/>
                <w:sz w:val="20"/>
                <w:szCs w:val="20"/>
              </w:rPr>
              <w:t>Percentage</w:t>
            </w:r>
          </w:p>
        </w:tc>
      </w:tr>
      <w:tr w:rsidR="00043A8B" w:rsidTr="00043A8B">
        <w:trPr>
          <w:trHeight w:val="3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Acceptable Risk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Low (1–2)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28.84%</w:t>
            </w:r>
          </w:p>
        </w:tc>
      </w:tr>
      <w:tr w:rsidR="00043A8B" w:rsidTr="00043A8B">
        <w:trPr>
          <w:trHeight w:val="3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Moderate (3)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19.23%</w:t>
            </w:r>
          </w:p>
        </w:tc>
      </w:tr>
      <w:tr w:rsidR="00043A8B" w:rsidTr="00043A8B">
        <w:trPr>
          <w:trHeight w:val="3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High (4–5)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51.93%</w:t>
            </w:r>
          </w:p>
        </w:tc>
      </w:tr>
      <w:tr w:rsidR="00043A8B" w:rsidTr="00043A8B">
        <w:trPr>
          <w:trHeight w:val="3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Innovativeness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Low (1–2)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21.15%</w:t>
            </w:r>
          </w:p>
        </w:tc>
      </w:tr>
      <w:tr w:rsidR="00043A8B" w:rsidTr="00043A8B">
        <w:trPr>
          <w:trHeight w:val="3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Moderate (3)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11.54%</w:t>
            </w:r>
          </w:p>
        </w:tc>
      </w:tr>
      <w:tr w:rsidR="00043A8B" w:rsidTr="00043A8B">
        <w:trPr>
          <w:trHeight w:val="3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High (4–5)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67.30%</w:t>
            </w:r>
          </w:p>
        </w:tc>
      </w:tr>
      <w:tr w:rsidR="00043A8B" w:rsidTr="00043A8B">
        <w:trPr>
          <w:trHeight w:val="3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Network Attention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Low (1–2)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28.84%</w:t>
            </w:r>
          </w:p>
        </w:tc>
      </w:tr>
      <w:tr w:rsidR="00043A8B" w:rsidTr="00043A8B">
        <w:trPr>
          <w:trHeight w:val="3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Moderate (3)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23.08%</w:t>
            </w:r>
          </w:p>
        </w:tc>
      </w:tr>
      <w:tr w:rsidR="00043A8B" w:rsidTr="00043A8B">
        <w:trPr>
          <w:trHeight w:val="3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High (4–5)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48.07%</w:t>
            </w:r>
          </w:p>
        </w:tc>
      </w:tr>
      <w:tr w:rsidR="00043A8B" w:rsidTr="00043A8B">
        <w:trPr>
          <w:trHeight w:val="3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Proactive Marketing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Low (1–2)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26.92%</w:t>
            </w:r>
          </w:p>
        </w:tc>
      </w:tr>
      <w:tr w:rsidR="00043A8B" w:rsidTr="00043A8B">
        <w:trPr>
          <w:trHeight w:val="3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Moderate (3)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21.15%</w:t>
            </w:r>
          </w:p>
        </w:tc>
      </w:tr>
      <w:tr w:rsidR="00043A8B" w:rsidTr="00043A8B">
        <w:trPr>
          <w:trHeight w:val="3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High (4–5)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51.92%</w:t>
            </w:r>
          </w:p>
        </w:tc>
      </w:tr>
      <w:tr w:rsidR="00043A8B" w:rsidTr="00043A8B">
        <w:trPr>
          <w:trHeight w:val="3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Resource Leveraging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Low (1–2)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26.92%</w:t>
            </w:r>
          </w:p>
        </w:tc>
      </w:tr>
      <w:tr w:rsidR="00043A8B" w:rsidTr="00043A8B">
        <w:trPr>
          <w:trHeight w:val="3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Moderate (3)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17.31%</w:t>
            </w:r>
          </w:p>
        </w:tc>
      </w:tr>
      <w:tr w:rsidR="00043A8B" w:rsidTr="00043A8B">
        <w:trPr>
          <w:trHeight w:val="35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High (4–5)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43A8B" w:rsidRDefault="00043A8B" w:rsidP="003B2FE9">
            <w:pPr>
              <w:jc w:val="both"/>
              <w:rPr>
                <w:rFonts w:ascii="Arial" w:hAnsi="Arial" w:cs="Arial"/>
                <w:sz w:val="20"/>
                <w:szCs w:val="20"/>
              </w:rPr>
            </w:pPr>
            <w:r>
              <w:rPr>
                <w:rFonts w:ascii="Arial" w:hAnsi="Arial" w:cs="Arial"/>
                <w:sz w:val="20"/>
                <w:szCs w:val="20"/>
              </w:rPr>
              <w:t>55.77%</w:t>
            </w:r>
          </w:p>
        </w:tc>
      </w:tr>
    </w:tbl>
    <w:p w:rsidR="00E03249" w:rsidRPr="00043A8B" w:rsidRDefault="00E03249" w:rsidP="003B2FE9">
      <w:pPr>
        <w:spacing w:before="100" w:beforeAutospacing="1" w:after="100" w:afterAutospacing="1"/>
        <w:jc w:val="both"/>
        <w:outlineLvl w:val="2"/>
        <w:rPr>
          <w:b/>
          <w:bCs/>
        </w:rPr>
      </w:pPr>
      <w:r w:rsidRPr="00043A8B">
        <w:rPr>
          <w:b/>
          <w:bCs/>
        </w:rPr>
        <w:t>Reliability Analysis (Cronbach’s Alpha)</w:t>
      </w:r>
      <w:r w:rsidR="002E5337" w:rsidRPr="00043A8B">
        <w:rPr>
          <w:b/>
          <w:bCs/>
        </w:rPr>
        <w:t>:</w:t>
      </w:r>
    </w:p>
    <w:p w:rsidR="00E03249" w:rsidRDefault="00E03249" w:rsidP="003B2FE9">
      <w:pPr>
        <w:spacing w:before="100" w:beforeAutospacing="1" w:after="100" w:afterAutospacing="1"/>
        <w:jc w:val="both"/>
      </w:pPr>
      <w:r w:rsidRPr="00A34689">
        <w:t>To ensure the scale items accurately measured their respective EM dimensions, Cronbach’s Alpha was calculated for each construct.</w:t>
      </w:r>
    </w:p>
    <w:p w:rsidR="00A34689" w:rsidRPr="00A34689" w:rsidRDefault="00A34689" w:rsidP="003B2FE9">
      <w:pPr>
        <w:spacing w:before="100" w:beforeAutospacing="1" w:after="100" w:afterAutospacing="1"/>
        <w:jc w:val="both"/>
        <w:outlineLvl w:val="3"/>
        <w:rPr>
          <w:b/>
          <w:bCs/>
        </w:rPr>
      </w:pPr>
      <w:r w:rsidRPr="00A34689">
        <w:rPr>
          <w:b/>
          <w:bCs/>
        </w:rPr>
        <w:t xml:space="preserve">Table </w:t>
      </w:r>
      <w:r w:rsidR="00043A8B">
        <w:rPr>
          <w:b/>
          <w:bCs/>
        </w:rPr>
        <w:t>3</w:t>
      </w:r>
      <w:r w:rsidRPr="00A34689">
        <w:rPr>
          <w:b/>
          <w:bCs/>
        </w:rPr>
        <w:t xml:space="preserve">: </w:t>
      </w:r>
      <w:proofErr w:type="spellStart"/>
      <w:r w:rsidRPr="00A34689">
        <w:rPr>
          <w:b/>
          <w:bCs/>
        </w:rPr>
        <w:t>Reliablity</w:t>
      </w:r>
      <w:proofErr w:type="spellEnd"/>
      <w:r w:rsidRPr="00A34689">
        <w:rPr>
          <w:b/>
          <w:bCs/>
        </w:rPr>
        <w:t xml:space="preserve"> Analysis of E.M of </w:t>
      </w:r>
      <w:proofErr w:type="spellStart"/>
      <w:r w:rsidRPr="00A34689">
        <w:rPr>
          <w:b/>
          <w:bCs/>
        </w:rPr>
        <w:t>Agripreneurs</w:t>
      </w:r>
      <w:proofErr w:type="spellEnd"/>
      <w:r w:rsidRPr="00A34689">
        <w:rPr>
          <w:b/>
          <w:bCs/>
        </w:rPr>
        <w:t xml:space="preserve"> in Kisan mela at GBPUAT, Pantnagar</w:t>
      </w:r>
    </w:p>
    <w:tbl>
      <w:tblPr>
        <w:tblW w:w="9435" w:type="dxa"/>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891"/>
        <w:gridCol w:w="2600"/>
        <w:gridCol w:w="3944"/>
      </w:tblGrid>
      <w:tr w:rsidR="002E5337" w:rsidRPr="00A34689" w:rsidTr="00E03249">
        <w:trPr>
          <w:trHeight w:val="331"/>
          <w:tblHeader/>
          <w:tblCellSpacing w:w="15" w:type="dxa"/>
        </w:trPr>
        <w:tc>
          <w:tcPr>
            <w:tcW w:w="0" w:type="auto"/>
            <w:vAlign w:val="center"/>
            <w:hideMark/>
          </w:tcPr>
          <w:p w:rsidR="00E03249" w:rsidRPr="00A34689" w:rsidRDefault="00E03249" w:rsidP="003B2FE9">
            <w:pPr>
              <w:jc w:val="both"/>
              <w:rPr>
                <w:b/>
                <w:bCs/>
              </w:rPr>
            </w:pPr>
            <w:r w:rsidRPr="00A34689">
              <w:rPr>
                <w:b/>
                <w:bCs/>
              </w:rPr>
              <w:t>Construct</w:t>
            </w:r>
          </w:p>
        </w:tc>
        <w:tc>
          <w:tcPr>
            <w:tcW w:w="0" w:type="auto"/>
            <w:vAlign w:val="center"/>
            <w:hideMark/>
          </w:tcPr>
          <w:p w:rsidR="00E03249" w:rsidRPr="00A34689" w:rsidRDefault="00E03249" w:rsidP="003B2FE9">
            <w:pPr>
              <w:jc w:val="both"/>
              <w:rPr>
                <w:b/>
                <w:bCs/>
              </w:rPr>
            </w:pPr>
            <w:r w:rsidRPr="00A34689">
              <w:rPr>
                <w:b/>
                <w:bCs/>
              </w:rPr>
              <w:t>Cronbach's Alpha</w:t>
            </w:r>
          </w:p>
        </w:tc>
        <w:tc>
          <w:tcPr>
            <w:tcW w:w="0" w:type="auto"/>
            <w:vAlign w:val="center"/>
            <w:hideMark/>
          </w:tcPr>
          <w:p w:rsidR="00E03249" w:rsidRPr="00A34689" w:rsidRDefault="00E03249" w:rsidP="003B2FE9">
            <w:pPr>
              <w:jc w:val="both"/>
              <w:rPr>
                <w:b/>
                <w:bCs/>
              </w:rPr>
            </w:pPr>
            <w:r w:rsidRPr="00A34689">
              <w:rPr>
                <w:b/>
                <w:bCs/>
              </w:rPr>
              <w:t>Interpretation</w:t>
            </w:r>
          </w:p>
        </w:tc>
      </w:tr>
      <w:tr w:rsidR="002E5337" w:rsidRPr="00A34689" w:rsidTr="00E03249">
        <w:trPr>
          <w:trHeight w:val="315"/>
          <w:tblCellSpacing w:w="15" w:type="dxa"/>
        </w:trPr>
        <w:tc>
          <w:tcPr>
            <w:tcW w:w="0" w:type="auto"/>
            <w:vAlign w:val="center"/>
            <w:hideMark/>
          </w:tcPr>
          <w:p w:rsidR="00E03249" w:rsidRPr="00A34689" w:rsidRDefault="00E03249" w:rsidP="003B2FE9">
            <w:pPr>
              <w:jc w:val="both"/>
            </w:pPr>
            <w:r w:rsidRPr="00A34689">
              <w:t>Innovative Marketing</w:t>
            </w:r>
          </w:p>
        </w:tc>
        <w:tc>
          <w:tcPr>
            <w:tcW w:w="0" w:type="auto"/>
            <w:vAlign w:val="center"/>
            <w:hideMark/>
          </w:tcPr>
          <w:p w:rsidR="00E03249" w:rsidRPr="00A34689" w:rsidRDefault="00E03249" w:rsidP="003B2FE9">
            <w:pPr>
              <w:jc w:val="both"/>
            </w:pPr>
            <w:r w:rsidRPr="00A34689">
              <w:t>0.726</w:t>
            </w:r>
          </w:p>
        </w:tc>
        <w:tc>
          <w:tcPr>
            <w:tcW w:w="0" w:type="auto"/>
            <w:vAlign w:val="center"/>
            <w:hideMark/>
          </w:tcPr>
          <w:p w:rsidR="00E03249" w:rsidRPr="00A34689" w:rsidRDefault="00E03249" w:rsidP="003B2FE9">
            <w:pPr>
              <w:jc w:val="both"/>
            </w:pPr>
            <w:r w:rsidRPr="00A34689">
              <w:t>Good internal consistency</w:t>
            </w:r>
          </w:p>
        </w:tc>
      </w:tr>
      <w:tr w:rsidR="002E5337" w:rsidRPr="00A34689" w:rsidTr="00E03249">
        <w:trPr>
          <w:trHeight w:val="331"/>
          <w:tblCellSpacing w:w="15" w:type="dxa"/>
        </w:trPr>
        <w:tc>
          <w:tcPr>
            <w:tcW w:w="0" w:type="auto"/>
            <w:vAlign w:val="center"/>
            <w:hideMark/>
          </w:tcPr>
          <w:p w:rsidR="00E03249" w:rsidRPr="00A34689" w:rsidRDefault="00E03249" w:rsidP="003B2FE9">
            <w:pPr>
              <w:jc w:val="both"/>
            </w:pPr>
            <w:r w:rsidRPr="00A34689">
              <w:t>Proactive Marketing</w:t>
            </w:r>
          </w:p>
        </w:tc>
        <w:tc>
          <w:tcPr>
            <w:tcW w:w="0" w:type="auto"/>
            <w:vAlign w:val="center"/>
            <w:hideMark/>
          </w:tcPr>
          <w:p w:rsidR="00E03249" w:rsidRPr="00A34689" w:rsidRDefault="00E03249" w:rsidP="003B2FE9">
            <w:pPr>
              <w:jc w:val="both"/>
            </w:pPr>
            <w:r w:rsidRPr="00A34689">
              <w:t>0.888</w:t>
            </w:r>
          </w:p>
        </w:tc>
        <w:tc>
          <w:tcPr>
            <w:tcW w:w="0" w:type="auto"/>
            <w:vAlign w:val="center"/>
            <w:hideMark/>
          </w:tcPr>
          <w:p w:rsidR="00E03249" w:rsidRPr="00A34689" w:rsidRDefault="00E03249" w:rsidP="003B2FE9">
            <w:pPr>
              <w:jc w:val="both"/>
            </w:pPr>
            <w:r w:rsidRPr="00A34689">
              <w:t>Excellent internal consistency</w:t>
            </w:r>
          </w:p>
        </w:tc>
      </w:tr>
      <w:tr w:rsidR="002E5337" w:rsidRPr="00A34689" w:rsidTr="00E03249">
        <w:trPr>
          <w:trHeight w:val="315"/>
          <w:tblCellSpacing w:w="15" w:type="dxa"/>
        </w:trPr>
        <w:tc>
          <w:tcPr>
            <w:tcW w:w="0" w:type="auto"/>
            <w:vAlign w:val="center"/>
            <w:hideMark/>
          </w:tcPr>
          <w:p w:rsidR="00E03249" w:rsidRPr="00A34689" w:rsidRDefault="00E03249" w:rsidP="003B2FE9">
            <w:pPr>
              <w:jc w:val="both"/>
            </w:pPr>
            <w:r w:rsidRPr="00A34689">
              <w:lastRenderedPageBreak/>
              <w:t>Resource Leveraging</w:t>
            </w:r>
          </w:p>
        </w:tc>
        <w:tc>
          <w:tcPr>
            <w:tcW w:w="0" w:type="auto"/>
            <w:vAlign w:val="center"/>
            <w:hideMark/>
          </w:tcPr>
          <w:p w:rsidR="00E03249" w:rsidRPr="00A34689" w:rsidRDefault="00E03249" w:rsidP="003B2FE9">
            <w:pPr>
              <w:jc w:val="both"/>
            </w:pPr>
            <w:r w:rsidRPr="00A34689">
              <w:t>0.844</w:t>
            </w:r>
          </w:p>
        </w:tc>
        <w:tc>
          <w:tcPr>
            <w:tcW w:w="0" w:type="auto"/>
            <w:vAlign w:val="center"/>
            <w:hideMark/>
          </w:tcPr>
          <w:p w:rsidR="00E03249" w:rsidRPr="00A34689" w:rsidRDefault="00E03249" w:rsidP="003B2FE9">
            <w:pPr>
              <w:jc w:val="both"/>
            </w:pPr>
            <w:r w:rsidRPr="00A34689">
              <w:t>Excellent internal consistency</w:t>
            </w:r>
          </w:p>
        </w:tc>
      </w:tr>
      <w:tr w:rsidR="002E5337" w:rsidRPr="00A34689" w:rsidTr="00E03249">
        <w:trPr>
          <w:trHeight w:val="331"/>
          <w:tblCellSpacing w:w="15" w:type="dxa"/>
        </w:trPr>
        <w:tc>
          <w:tcPr>
            <w:tcW w:w="0" w:type="auto"/>
            <w:vAlign w:val="center"/>
            <w:hideMark/>
          </w:tcPr>
          <w:p w:rsidR="00E03249" w:rsidRPr="00A34689" w:rsidRDefault="00E03249" w:rsidP="003B2FE9">
            <w:pPr>
              <w:jc w:val="both"/>
            </w:pPr>
            <w:r w:rsidRPr="00A34689">
              <w:t>Network Attention</w:t>
            </w:r>
          </w:p>
        </w:tc>
        <w:tc>
          <w:tcPr>
            <w:tcW w:w="0" w:type="auto"/>
            <w:vAlign w:val="center"/>
            <w:hideMark/>
          </w:tcPr>
          <w:p w:rsidR="00E03249" w:rsidRPr="00A34689" w:rsidRDefault="00E03249" w:rsidP="003B2FE9">
            <w:pPr>
              <w:jc w:val="both"/>
            </w:pPr>
            <w:r w:rsidRPr="00A34689">
              <w:t>0.874</w:t>
            </w:r>
          </w:p>
        </w:tc>
        <w:tc>
          <w:tcPr>
            <w:tcW w:w="0" w:type="auto"/>
            <w:vAlign w:val="center"/>
            <w:hideMark/>
          </w:tcPr>
          <w:p w:rsidR="00E03249" w:rsidRPr="00A34689" w:rsidRDefault="00E03249" w:rsidP="003B2FE9">
            <w:pPr>
              <w:jc w:val="both"/>
            </w:pPr>
            <w:r w:rsidRPr="00A34689">
              <w:t>Excellent internal consistency</w:t>
            </w:r>
          </w:p>
        </w:tc>
      </w:tr>
      <w:tr w:rsidR="002E5337" w:rsidRPr="00A34689" w:rsidTr="00E03249">
        <w:trPr>
          <w:trHeight w:val="331"/>
          <w:tblCellSpacing w:w="15" w:type="dxa"/>
        </w:trPr>
        <w:tc>
          <w:tcPr>
            <w:tcW w:w="0" w:type="auto"/>
            <w:vAlign w:val="center"/>
            <w:hideMark/>
          </w:tcPr>
          <w:p w:rsidR="00E03249" w:rsidRPr="00A34689" w:rsidRDefault="00E03249" w:rsidP="003B2FE9">
            <w:pPr>
              <w:jc w:val="both"/>
            </w:pPr>
            <w:r w:rsidRPr="00A34689">
              <w:t>Acceptable Risk</w:t>
            </w:r>
          </w:p>
        </w:tc>
        <w:tc>
          <w:tcPr>
            <w:tcW w:w="0" w:type="auto"/>
            <w:vAlign w:val="center"/>
            <w:hideMark/>
          </w:tcPr>
          <w:p w:rsidR="00E03249" w:rsidRPr="00A34689" w:rsidRDefault="00E03249" w:rsidP="003B2FE9">
            <w:pPr>
              <w:jc w:val="both"/>
            </w:pPr>
            <w:r w:rsidRPr="00A34689">
              <w:t>0.881</w:t>
            </w:r>
          </w:p>
        </w:tc>
        <w:tc>
          <w:tcPr>
            <w:tcW w:w="0" w:type="auto"/>
            <w:vAlign w:val="center"/>
            <w:hideMark/>
          </w:tcPr>
          <w:p w:rsidR="00E03249" w:rsidRPr="00A34689" w:rsidRDefault="00E03249" w:rsidP="003B2FE9">
            <w:pPr>
              <w:jc w:val="both"/>
            </w:pPr>
            <w:r w:rsidRPr="00A34689">
              <w:t>Excellent internal consistency</w:t>
            </w:r>
          </w:p>
        </w:tc>
      </w:tr>
    </w:tbl>
    <w:p w:rsidR="002E5337" w:rsidRPr="00A34689" w:rsidRDefault="002E5337" w:rsidP="003B2FE9">
      <w:pPr>
        <w:spacing w:before="100" w:beforeAutospacing="1" w:after="100" w:afterAutospacing="1"/>
        <w:jc w:val="both"/>
        <w:outlineLvl w:val="2"/>
      </w:pPr>
      <w:r w:rsidRPr="00A34689">
        <w:t>To assess the internal consistency of the survey constructs, Cronbach's Alpha was calculated for each of the five domains: Innovative Marketing, Proactive Marketing, Resource Leveraging, Network Attention, and Acceptable Risk. A value above 0.7 is generally considered acceptable, with values above 0.8 indicating good to excellent reliability. These results suggest that all five constructs exhibit satisfactory internal consistency. Four of the domains (Proactive Marketing, Resource Leveraging, Network Attention, and Acceptable Risk) demonstrated excellent reliability, with alpha values exceeding 0.84. The domain Innovative Marketing also showed good reliability, with a value of 0.726, which is slightly above the accepted threshold.</w:t>
      </w:r>
      <w:r w:rsidR="004746DE">
        <w:t xml:space="preserve"> </w:t>
      </w:r>
      <w:r w:rsidRPr="00A34689">
        <w:t xml:space="preserve">The slightly lower alpha value for Innovative Marketing may indicate that while the items are generally consistent, there could be one or more items within that domain that are not as strongly aligned with the others. This warrants further inspection through item-level analysis to determine whether removing or revising certain statements could improve reliability. However, since the alpha value is still above 0.7, the scale remains usable in its current </w:t>
      </w:r>
      <w:proofErr w:type="spellStart"/>
      <w:r w:rsidRPr="00A34689">
        <w:t>form.Overall</w:t>
      </w:r>
      <w:proofErr w:type="spellEnd"/>
      <w:r w:rsidRPr="00A34689">
        <w:t>, the Cronbach's Alpha analysis validates the internal consistency of the survey items, suggesting that the constructs were well-defined and the respondents interpreted the questions in a coherent manner. The high reliability across most domains also supports the robustness of the instrument used for data collection.</w:t>
      </w:r>
    </w:p>
    <w:p w:rsidR="00E03249" w:rsidRDefault="00E03249" w:rsidP="003B2FE9">
      <w:pPr>
        <w:spacing w:before="100" w:beforeAutospacing="1" w:after="100" w:afterAutospacing="1"/>
        <w:jc w:val="both"/>
        <w:outlineLvl w:val="2"/>
      </w:pPr>
      <w:r w:rsidRPr="00A34689">
        <w:rPr>
          <w:b/>
          <w:bCs/>
        </w:rPr>
        <w:t xml:space="preserve"> Correlation Analysis Between Constructs</w:t>
      </w:r>
      <w:r w:rsidR="002E5337" w:rsidRPr="00A34689">
        <w:rPr>
          <w:b/>
          <w:bCs/>
        </w:rPr>
        <w:t xml:space="preserve">: </w:t>
      </w:r>
      <w:r w:rsidRPr="00A34689">
        <w:t xml:space="preserve">To understand the interrelationship among different EM constructs, a </w:t>
      </w:r>
      <w:r w:rsidRPr="00A34689">
        <w:rPr>
          <w:b/>
          <w:bCs/>
        </w:rPr>
        <w:t>Pearson correlation matrix</w:t>
      </w:r>
      <w:r w:rsidRPr="00A34689">
        <w:t xml:space="preserve"> was computed using the mean score of each construct.</w:t>
      </w:r>
    </w:p>
    <w:p w:rsidR="00A34689" w:rsidRPr="00A34689" w:rsidRDefault="00A34689" w:rsidP="003B2FE9">
      <w:pPr>
        <w:pStyle w:val="NormalWeb"/>
        <w:jc w:val="both"/>
        <w:rPr>
          <w:b/>
          <w:bCs/>
        </w:rPr>
      </w:pPr>
      <w:r w:rsidRPr="00A34689">
        <w:rPr>
          <w:b/>
          <w:bCs/>
        </w:rPr>
        <w:t xml:space="preserve">Table </w:t>
      </w:r>
      <w:r w:rsidR="00043A8B">
        <w:rPr>
          <w:b/>
          <w:bCs/>
        </w:rPr>
        <w:t>4</w:t>
      </w:r>
      <w:r w:rsidRPr="00A34689">
        <w:rPr>
          <w:b/>
          <w:bCs/>
        </w:rPr>
        <w:t>: Corelation matrix between different constructs of Entrepreneurial Marketing</w:t>
      </w:r>
    </w:p>
    <w:tbl>
      <w:tblPr>
        <w:tblW w:w="1023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63"/>
        <w:gridCol w:w="1639"/>
        <w:gridCol w:w="1468"/>
        <w:gridCol w:w="1731"/>
        <w:gridCol w:w="1357"/>
        <w:gridCol w:w="875"/>
      </w:tblGrid>
      <w:tr w:rsidR="00E03249" w:rsidRPr="00A34689" w:rsidTr="00E03249">
        <w:trPr>
          <w:trHeight w:val="358"/>
          <w:tblHeader/>
          <w:tblCellSpacing w:w="15" w:type="dxa"/>
        </w:trPr>
        <w:tc>
          <w:tcPr>
            <w:tcW w:w="0" w:type="auto"/>
            <w:vAlign w:val="center"/>
            <w:hideMark/>
          </w:tcPr>
          <w:p w:rsidR="00E03249" w:rsidRPr="00A34689" w:rsidRDefault="00E03249" w:rsidP="003B2FE9">
            <w:pPr>
              <w:spacing w:before="100" w:beforeAutospacing="1" w:after="100" w:afterAutospacing="1"/>
              <w:jc w:val="both"/>
            </w:pPr>
          </w:p>
        </w:tc>
        <w:tc>
          <w:tcPr>
            <w:tcW w:w="0" w:type="auto"/>
            <w:vAlign w:val="center"/>
            <w:hideMark/>
          </w:tcPr>
          <w:p w:rsidR="00E03249" w:rsidRPr="00A34689" w:rsidRDefault="00E03249" w:rsidP="003B2FE9">
            <w:pPr>
              <w:jc w:val="both"/>
              <w:rPr>
                <w:b/>
                <w:bCs/>
              </w:rPr>
            </w:pPr>
            <w:r w:rsidRPr="00A34689">
              <w:rPr>
                <w:b/>
                <w:bCs/>
              </w:rPr>
              <w:t>Innovative</w:t>
            </w:r>
          </w:p>
        </w:tc>
        <w:tc>
          <w:tcPr>
            <w:tcW w:w="0" w:type="auto"/>
            <w:vAlign w:val="center"/>
            <w:hideMark/>
          </w:tcPr>
          <w:p w:rsidR="00E03249" w:rsidRPr="00A34689" w:rsidRDefault="00E03249" w:rsidP="003B2FE9">
            <w:pPr>
              <w:jc w:val="both"/>
              <w:rPr>
                <w:b/>
                <w:bCs/>
              </w:rPr>
            </w:pPr>
            <w:r w:rsidRPr="00A34689">
              <w:rPr>
                <w:b/>
                <w:bCs/>
              </w:rPr>
              <w:t>Proactive</w:t>
            </w:r>
          </w:p>
        </w:tc>
        <w:tc>
          <w:tcPr>
            <w:tcW w:w="0" w:type="auto"/>
            <w:vAlign w:val="center"/>
            <w:hideMark/>
          </w:tcPr>
          <w:p w:rsidR="00E03249" w:rsidRPr="00A34689" w:rsidRDefault="00E03249" w:rsidP="003B2FE9">
            <w:pPr>
              <w:jc w:val="both"/>
              <w:rPr>
                <w:b/>
                <w:bCs/>
              </w:rPr>
            </w:pPr>
            <w:r w:rsidRPr="00A34689">
              <w:rPr>
                <w:b/>
                <w:bCs/>
              </w:rPr>
              <w:t>Leveraging</w:t>
            </w:r>
          </w:p>
        </w:tc>
        <w:tc>
          <w:tcPr>
            <w:tcW w:w="0" w:type="auto"/>
            <w:vAlign w:val="center"/>
            <w:hideMark/>
          </w:tcPr>
          <w:p w:rsidR="00E03249" w:rsidRPr="00A34689" w:rsidRDefault="00E03249" w:rsidP="003B2FE9">
            <w:pPr>
              <w:jc w:val="both"/>
              <w:rPr>
                <w:b/>
                <w:bCs/>
              </w:rPr>
            </w:pPr>
            <w:r w:rsidRPr="00A34689">
              <w:rPr>
                <w:b/>
                <w:bCs/>
              </w:rPr>
              <w:t>Network</w:t>
            </w:r>
          </w:p>
        </w:tc>
        <w:tc>
          <w:tcPr>
            <w:tcW w:w="0" w:type="auto"/>
            <w:vAlign w:val="center"/>
            <w:hideMark/>
          </w:tcPr>
          <w:p w:rsidR="00E03249" w:rsidRPr="00A34689" w:rsidRDefault="00E03249" w:rsidP="003B2FE9">
            <w:pPr>
              <w:jc w:val="both"/>
              <w:rPr>
                <w:b/>
                <w:bCs/>
              </w:rPr>
            </w:pPr>
            <w:r w:rsidRPr="00A34689">
              <w:rPr>
                <w:b/>
                <w:bCs/>
              </w:rPr>
              <w:t>Risk</w:t>
            </w:r>
          </w:p>
        </w:tc>
      </w:tr>
      <w:tr w:rsidR="00E03249" w:rsidRPr="00A34689" w:rsidTr="00E03249">
        <w:trPr>
          <w:trHeight w:val="341"/>
          <w:tblCellSpacing w:w="15" w:type="dxa"/>
        </w:trPr>
        <w:tc>
          <w:tcPr>
            <w:tcW w:w="0" w:type="auto"/>
            <w:vAlign w:val="center"/>
            <w:hideMark/>
          </w:tcPr>
          <w:p w:rsidR="00E03249" w:rsidRPr="00A34689" w:rsidRDefault="00E03249" w:rsidP="003B2FE9">
            <w:pPr>
              <w:jc w:val="both"/>
            </w:pPr>
            <w:r w:rsidRPr="00A34689">
              <w:rPr>
                <w:b/>
                <w:bCs/>
              </w:rPr>
              <w:t>Innovative</w:t>
            </w:r>
          </w:p>
        </w:tc>
        <w:tc>
          <w:tcPr>
            <w:tcW w:w="0" w:type="auto"/>
            <w:vAlign w:val="center"/>
            <w:hideMark/>
          </w:tcPr>
          <w:p w:rsidR="00E03249" w:rsidRPr="00A34689" w:rsidRDefault="00E03249" w:rsidP="003B2FE9">
            <w:pPr>
              <w:jc w:val="both"/>
            </w:pPr>
            <w:r w:rsidRPr="00A34689">
              <w:t>1.000</w:t>
            </w:r>
          </w:p>
        </w:tc>
        <w:tc>
          <w:tcPr>
            <w:tcW w:w="0" w:type="auto"/>
            <w:vAlign w:val="center"/>
            <w:hideMark/>
          </w:tcPr>
          <w:p w:rsidR="00E03249" w:rsidRPr="00A34689" w:rsidRDefault="00E03249" w:rsidP="003B2FE9">
            <w:pPr>
              <w:jc w:val="both"/>
            </w:pPr>
            <w:r w:rsidRPr="00A34689">
              <w:t>0.792</w:t>
            </w:r>
          </w:p>
        </w:tc>
        <w:tc>
          <w:tcPr>
            <w:tcW w:w="0" w:type="auto"/>
            <w:vAlign w:val="center"/>
            <w:hideMark/>
          </w:tcPr>
          <w:p w:rsidR="00E03249" w:rsidRPr="00A34689" w:rsidRDefault="00E03249" w:rsidP="003B2FE9">
            <w:pPr>
              <w:jc w:val="both"/>
            </w:pPr>
            <w:r w:rsidRPr="00A34689">
              <w:t>0.766</w:t>
            </w:r>
          </w:p>
        </w:tc>
        <w:tc>
          <w:tcPr>
            <w:tcW w:w="0" w:type="auto"/>
            <w:vAlign w:val="center"/>
            <w:hideMark/>
          </w:tcPr>
          <w:p w:rsidR="00E03249" w:rsidRPr="00A34689" w:rsidRDefault="00E03249" w:rsidP="003B2FE9">
            <w:pPr>
              <w:jc w:val="both"/>
            </w:pPr>
            <w:r w:rsidRPr="00A34689">
              <w:t>0.740</w:t>
            </w:r>
          </w:p>
        </w:tc>
        <w:tc>
          <w:tcPr>
            <w:tcW w:w="0" w:type="auto"/>
            <w:vAlign w:val="center"/>
            <w:hideMark/>
          </w:tcPr>
          <w:p w:rsidR="00E03249" w:rsidRPr="00A34689" w:rsidRDefault="00E03249" w:rsidP="003B2FE9">
            <w:pPr>
              <w:jc w:val="both"/>
            </w:pPr>
            <w:r w:rsidRPr="00A34689">
              <w:t>0.687</w:t>
            </w:r>
          </w:p>
        </w:tc>
      </w:tr>
      <w:tr w:rsidR="00E03249" w:rsidRPr="00A34689" w:rsidTr="00E03249">
        <w:trPr>
          <w:trHeight w:val="358"/>
          <w:tblCellSpacing w:w="15" w:type="dxa"/>
        </w:trPr>
        <w:tc>
          <w:tcPr>
            <w:tcW w:w="0" w:type="auto"/>
            <w:vAlign w:val="center"/>
            <w:hideMark/>
          </w:tcPr>
          <w:p w:rsidR="00E03249" w:rsidRPr="00A34689" w:rsidRDefault="00E03249" w:rsidP="003B2FE9">
            <w:pPr>
              <w:jc w:val="both"/>
            </w:pPr>
            <w:r w:rsidRPr="00A34689">
              <w:rPr>
                <w:b/>
                <w:bCs/>
              </w:rPr>
              <w:t>Proactive</w:t>
            </w:r>
          </w:p>
        </w:tc>
        <w:tc>
          <w:tcPr>
            <w:tcW w:w="0" w:type="auto"/>
            <w:vAlign w:val="center"/>
            <w:hideMark/>
          </w:tcPr>
          <w:p w:rsidR="00E03249" w:rsidRPr="00A34689" w:rsidRDefault="00E03249" w:rsidP="003B2FE9">
            <w:pPr>
              <w:jc w:val="both"/>
            </w:pPr>
            <w:r w:rsidRPr="00A34689">
              <w:t>0.792</w:t>
            </w:r>
          </w:p>
        </w:tc>
        <w:tc>
          <w:tcPr>
            <w:tcW w:w="0" w:type="auto"/>
            <w:vAlign w:val="center"/>
            <w:hideMark/>
          </w:tcPr>
          <w:p w:rsidR="00E03249" w:rsidRPr="00A34689" w:rsidRDefault="00E03249" w:rsidP="003B2FE9">
            <w:pPr>
              <w:jc w:val="both"/>
            </w:pPr>
            <w:r w:rsidRPr="00A34689">
              <w:t>1.000</w:t>
            </w:r>
          </w:p>
        </w:tc>
        <w:tc>
          <w:tcPr>
            <w:tcW w:w="0" w:type="auto"/>
            <w:vAlign w:val="center"/>
            <w:hideMark/>
          </w:tcPr>
          <w:p w:rsidR="00E03249" w:rsidRPr="00A34689" w:rsidRDefault="00E03249" w:rsidP="003B2FE9">
            <w:pPr>
              <w:jc w:val="both"/>
            </w:pPr>
            <w:r w:rsidRPr="00A34689">
              <w:t>0.838</w:t>
            </w:r>
          </w:p>
        </w:tc>
        <w:tc>
          <w:tcPr>
            <w:tcW w:w="0" w:type="auto"/>
            <w:vAlign w:val="center"/>
            <w:hideMark/>
          </w:tcPr>
          <w:p w:rsidR="00E03249" w:rsidRPr="00A34689" w:rsidRDefault="00E03249" w:rsidP="003B2FE9">
            <w:pPr>
              <w:jc w:val="both"/>
            </w:pPr>
            <w:r w:rsidRPr="00A34689">
              <w:t>0.772</w:t>
            </w:r>
          </w:p>
        </w:tc>
        <w:tc>
          <w:tcPr>
            <w:tcW w:w="0" w:type="auto"/>
            <w:vAlign w:val="center"/>
            <w:hideMark/>
          </w:tcPr>
          <w:p w:rsidR="00E03249" w:rsidRPr="00A34689" w:rsidRDefault="00E03249" w:rsidP="003B2FE9">
            <w:pPr>
              <w:jc w:val="both"/>
            </w:pPr>
            <w:r w:rsidRPr="00A34689">
              <w:t>0.739</w:t>
            </w:r>
          </w:p>
        </w:tc>
      </w:tr>
      <w:tr w:rsidR="00E03249" w:rsidRPr="00A34689" w:rsidTr="00E03249">
        <w:trPr>
          <w:trHeight w:val="358"/>
          <w:tblCellSpacing w:w="15" w:type="dxa"/>
        </w:trPr>
        <w:tc>
          <w:tcPr>
            <w:tcW w:w="0" w:type="auto"/>
            <w:vAlign w:val="center"/>
            <w:hideMark/>
          </w:tcPr>
          <w:p w:rsidR="00E03249" w:rsidRPr="00A34689" w:rsidRDefault="00E03249" w:rsidP="003B2FE9">
            <w:pPr>
              <w:jc w:val="both"/>
            </w:pPr>
            <w:r w:rsidRPr="00A34689">
              <w:rPr>
                <w:b/>
                <w:bCs/>
              </w:rPr>
              <w:t>Resource Leveraging</w:t>
            </w:r>
          </w:p>
        </w:tc>
        <w:tc>
          <w:tcPr>
            <w:tcW w:w="0" w:type="auto"/>
            <w:vAlign w:val="center"/>
            <w:hideMark/>
          </w:tcPr>
          <w:p w:rsidR="00E03249" w:rsidRPr="00A34689" w:rsidRDefault="00E03249" w:rsidP="003B2FE9">
            <w:pPr>
              <w:jc w:val="both"/>
            </w:pPr>
            <w:r w:rsidRPr="00A34689">
              <w:t>0.766</w:t>
            </w:r>
          </w:p>
        </w:tc>
        <w:tc>
          <w:tcPr>
            <w:tcW w:w="0" w:type="auto"/>
            <w:vAlign w:val="center"/>
            <w:hideMark/>
          </w:tcPr>
          <w:p w:rsidR="00E03249" w:rsidRPr="00A34689" w:rsidRDefault="00E03249" w:rsidP="003B2FE9">
            <w:pPr>
              <w:jc w:val="both"/>
            </w:pPr>
            <w:r w:rsidRPr="00A34689">
              <w:t>0.838</w:t>
            </w:r>
          </w:p>
        </w:tc>
        <w:tc>
          <w:tcPr>
            <w:tcW w:w="0" w:type="auto"/>
            <w:vAlign w:val="center"/>
            <w:hideMark/>
          </w:tcPr>
          <w:p w:rsidR="00E03249" w:rsidRPr="00A34689" w:rsidRDefault="00E03249" w:rsidP="003B2FE9">
            <w:pPr>
              <w:jc w:val="both"/>
            </w:pPr>
            <w:r w:rsidRPr="00A34689">
              <w:t>1.000</w:t>
            </w:r>
          </w:p>
        </w:tc>
        <w:tc>
          <w:tcPr>
            <w:tcW w:w="0" w:type="auto"/>
            <w:vAlign w:val="center"/>
            <w:hideMark/>
          </w:tcPr>
          <w:p w:rsidR="00E03249" w:rsidRPr="00A34689" w:rsidRDefault="00E03249" w:rsidP="003B2FE9">
            <w:pPr>
              <w:jc w:val="both"/>
            </w:pPr>
            <w:r w:rsidRPr="00A34689">
              <w:t>0.852</w:t>
            </w:r>
          </w:p>
        </w:tc>
        <w:tc>
          <w:tcPr>
            <w:tcW w:w="0" w:type="auto"/>
            <w:vAlign w:val="center"/>
            <w:hideMark/>
          </w:tcPr>
          <w:p w:rsidR="00E03249" w:rsidRPr="00A34689" w:rsidRDefault="00E03249" w:rsidP="003B2FE9">
            <w:pPr>
              <w:jc w:val="both"/>
            </w:pPr>
            <w:r w:rsidRPr="00A34689">
              <w:t>0.777</w:t>
            </w:r>
          </w:p>
        </w:tc>
      </w:tr>
      <w:tr w:rsidR="00E03249" w:rsidRPr="00A34689" w:rsidTr="00E03249">
        <w:trPr>
          <w:trHeight w:val="341"/>
          <w:tblCellSpacing w:w="15" w:type="dxa"/>
        </w:trPr>
        <w:tc>
          <w:tcPr>
            <w:tcW w:w="0" w:type="auto"/>
            <w:vAlign w:val="center"/>
            <w:hideMark/>
          </w:tcPr>
          <w:p w:rsidR="00E03249" w:rsidRPr="00A34689" w:rsidRDefault="00E03249" w:rsidP="003B2FE9">
            <w:pPr>
              <w:jc w:val="both"/>
            </w:pPr>
            <w:r w:rsidRPr="00A34689">
              <w:rPr>
                <w:b/>
                <w:bCs/>
              </w:rPr>
              <w:t>Network Attention</w:t>
            </w:r>
          </w:p>
        </w:tc>
        <w:tc>
          <w:tcPr>
            <w:tcW w:w="0" w:type="auto"/>
            <w:vAlign w:val="center"/>
            <w:hideMark/>
          </w:tcPr>
          <w:p w:rsidR="00E03249" w:rsidRPr="00A34689" w:rsidRDefault="00E03249" w:rsidP="003B2FE9">
            <w:pPr>
              <w:jc w:val="both"/>
            </w:pPr>
            <w:r w:rsidRPr="00A34689">
              <w:t>0.740</w:t>
            </w:r>
          </w:p>
        </w:tc>
        <w:tc>
          <w:tcPr>
            <w:tcW w:w="0" w:type="auto"/>
            <w:vAlign w:val="center"/>
            <w:hideMark/>
          </w:tcPr>
          <w:p w:rsidR="00E03249" w:rsidRPr="00A34689" w:rsidRDefault="00E03249" w:rsidP="003B2FE9">
            <w:pPr>
              <w:jc w:val="both"/>
            </w:pPr>
            <w:r w:rsidRPr="00A34689">
              <w:t>0.772</w:t>
            </w:r>
          </w:p>
        </w:tc>
        <w:tc>
          <w:tcPr>
            <w:tcW w:w="0" w:type="auto"/>
            <w:vAlign w:val="center"/>
            <w:hideMark/>
          </w:tcPr>
          <w:p w:rsidR="00E03249" w:rsidRPr="00A34689" w:rsidRDefault="00E03249" w:rsidP="003B2FE9">
            <w:pPr>
              <w:jc w:val="both"/>
            </w:pPr>
            <w:r w:rsidRPr="00A34689">
              <w:t>0.852</w:t>
            </w:r>
          </w:p>
        </w:tc>
        <w:tc>
          <w:tcPr>
            <w:tcW w:w="0" w:type="auto"/>
            <w:vAlign w:val="center"/>
            <w:hideMark/>
          </w:tcPr>
          <w:p w:rsidR="00E03249" w:rsidRPr="00A34689" w:rsidRDefault="00E03249" w:rsidP="003B2FE9">
            <w:pPr>
              <w:jc w:val="both"/>
            </w:pPr>
            <w:r w:rsidRPr="00A34689">
              <w:t>1.000</w:t>
            </w:r>
          </w:p>
        </w:tc>
        <w:tc>
          <w:tcPr>
            <w:tcW w:w="0" w:type="auto"/>
            <w:vAlign w:val="center"/>
            <w:hideMark/>
          </w:tcPr>
          <w:p w:rsidR="00E03249" w:rsidRPr="00A34689" w:rsidRDefault="00E03249" w:rsidP="003B2FE9">
            <w:pPr>
              <w:jc w:val="both"/>
            </w:pPr>
            <w:r w:rsidRPr="00A34689">
              <w:t>0.854</w:t>
            </w:r>
          </w:p>
        </w:tc>
      </w:tr>
      <w:tr w:rsidR="00E03249" w:rsidRPr="00A34689" w:rsidTr="00E03249">
        <w:trPr>
          <w:trHeight w:val="358"/>
          <w:tblCellSpacing w:w="15" w:type="dxa"/>
        </w:trPr>
        <w:tc>
          <w:tcPr>
            <w:tcW w:w="0" w:type="auto"/>
            <w:vAlign w:val="center"/>
            <w:hideMark/>
          </w:tcPr>
          <w:p w:rsidR="00E03249" w:rsidRPr="00A34689" w:rsidRDefault="00E03249" w:rsidP="003B2FE9">
            <w:pPr>
              <w:jc w:val="both"/>
            </w:pPr>
            <w:r w:rsidRPr="00A34689">
              <w:rPr>
                <w:b/>
                <w:bCs/>
              </w:rPr>
              <w:t>Acceptable Risk</w:t>
            </w:r>
          </w:p>
        </w:tc>
        <w:tc>
          <w:tcPr>
            <w:tcW w:w="0" w:type="auto"/>
            <w:vAlign w:val="center"/>
            <w:hideMark/>
          </w:tcPr>
          <w:p w:rsidR="00E03249" w:rsidRPr="00A34689" w:rsidRDefault="00E03249" w:rsidP="003B2FE9">
            <w:pPr>
              <w:jc w:val="both"/>
            </w:pPr>
            <w:r w:rsidRPr="00A34689">
              <w:t>0.687</w:t>
            </w:r>
          </w:p>
        </w:tc>
        <w:tc>
          <w:tcPr>
            <w:tcW w:w="0" w:type="auto"/>
            <w:vAlign w:val="center"/>
            <w:hideMark/>
          </w:tcPr>
          <w:p w:rsidR="00E03249" w:rsidRPr="00A34689" w:rsidRDefault="00E03249" w:rsidP="003B2FE9">
            <w:pPr>
              <w:jc w:val="both"/>
            </w:pPr>
            <w:r w:rsidRPr="00A34689">
              <w:t>0.739</w:t>
            </w:r>
          </w:p>
        </w:tc>
        <w:tc>
          <w:tcPr>
            <w:tcW w:w="0" w:type="auto"/>
            <w:vAlign w:val="center"/>
            <w:hideMark/>
          </w:tcPr>
          <w:p w:rsidR="00E03249" w:rsidRPr="00A34689" w:rsidRDefault="00E03249" w:rsidP="003B2FE9">
            <w:pPr>
              <w:jc w:val="both"/>
            </w:pPr>
            <w:r w:rsidRPr="00A34689">
              <w:t>0.777</w:t>
            </w:r>
          </w:p>
        </w:tc>
        <w:tc>
          <w:tcPr>
            <w:tcW w:w="0" w:type="auto"/>
            <w:vAlign w:val="center"/>
            <w:hideMark/>
          </w:tcPr>
          <w:p w:rsidR="00E03249" w:rsidRPr="00A34689" w:rsidRDefault="00E03249" w:rsidP="003B2FE9">
            <w:pPr>
              <w:jc w:val="both"/>
            </w:pPr>
            <w:r w:rsidRPr="00A34689">
              <w:t>0.854</w:t>
            </w:r>
          </w:p>
        </w:tc>
        <w:tc>
          <w:tcPr>
            <w:tcW w:w="0" w:type="auto"/>
            <w:vAlign w:val="center"/>
            <w:hideMark/>
          </w:tcPr>
          <w:p w:rsidR="00E03249" w:rsidRPr="00A34689" w:rsidRDefault="00E03249" w:rsidP="003B2FE9">
            <w:pPr>
              <w:jc w:val="both"/>
            </w:pPr>
            <w:r w:rsidRPr="00A34689">
              <w:t>1.000</w:t>
            </w:r>
          </w:p>
        </w:tc>
      </w:tr>
    </w:tbl>
    <w:p w:rsidR="00E03249" w:rsidRPr="00A34689" w:rsidRDefault="002E5337" w:rsidP="003B2FE9">
      <w:pPr>
        <w:pStyle w:val="NormalWeb"/>
        <w:jc w:val="both"/>
      </w:pPr>
      <w:r w:rsidRPr="00A34689">
        <w:t xml:space="preserve">To understand the interrelationship among different EM constructs, a </w:t>
      </w:r>
      <w:r w:rsidRPr="00A34689">
        <w:rPr>
          <w:rStyle w:val="Strong"/>
          <w:rFonts w:eastAsiaTheme="majorEastAsia"/>
        </w:rPr>
        <w:t>Pearson correlation matrix</w:t>
      </w:r>
      <w:r w:rsidRPr="00A34689">
        <w:t xml:space="preserve"> was computed using the mean score of each construct. All five constructs are positively correlated with one another, with most correlation values falling in the strong range (0.70 to 0.89). The highest correlation was observed between Network Attention and Acceptable Risk (r = 0.854), indicating that respondents who are effective in maintaining networks are also more inclined to take acceptable levels of risk. This suggests a potential link between social capital and risk tolerance in entrepreneurial or strategic marketing </w:t>
      </w:r>
      <w:proofErr w:type="spellStart"/>
      <w:r w:rsidRPr="00A34689">
        <w:t>contexts.The</w:t>
      </w:r>
      <w:proofErr w:type="spellEnd"/>
      <w:r w:rsidRPr="00A34689">
        <w:t xml:space="preserve"> second highest correlation was between Resource Leveraging and Network Attention (r = 0.852), implying </w:t>
      </w:r>
      <w:r w:rsidRPr="00A34689">
        <w:lastRenderedPageBreak/>
        <w:t>that individuals who effectively utilize resources also tend to be well-networked. Proactive Marketing showed strong correlations with Resource Leveraging (r = 0.838) and Innovative Marketing (r = 0.792), further reinforcing the idea that proactive strategies are often supported by creativity and resourcefulness.</w:t>
      </w:r>
      <w:r w:rsidR="00BD51C7" w:rsidRPr="00A34689">
        <w:t xml:space="preserve"> </w:t>
      </w:r>
      <w:r w:rsidRPr="00A34689">
        <w:t xml:space="preserve">The weakest, yet still moderately strong, relationship was between Innovative Marketing and Acceptable Risk (r = 0.687). While still within the range of practical significance, this slightly lower value suggests that innovation may be somewhat independent from risk acceptance compared to the other constructs. </w:t>
      </w:r>
    </w:p>
    <w:p w:rsidR="007B50E2" w:rsidRPr="00A34689" w:rsidRDefault="007B50E2" w:rsidP="003B2FE9">
      <w:pPr>
        <w:spacing w:before="100" w:beforeAutospacing="1" w:after="100" w:afterAutospacing="1"/>
        <w:jc w:val="both"/>
        <w:rPr>
          <w:b/>
          <w:bCs/>
        </w:rPr>
      </w:pPr>
      <w:r w:rsidRPr="00A34689">
        <w:rPr>
          <w:b/>
          <w:bCs/>
        </w:rPr>
        <w:t xml:space="preserve">Conclusion: </w:t>
      </w:r>
    </w:p>
    <w:p w:rsidR="00C83643" w:rsidRPr="00A34689" w:rsidRDefault="007B50E2" w:rsidP="003B2FE9">
      <w:pPr>
        <w:spacing w:before="100" w:beforeAutospacing="1" w:after="100" w:afterAutospacing="1"/>
        <w:jc w:val="both"/>
        <w:rPr>
          <w:b/>
          <w:bCs/>
        </w:rPr>
      </w:pPr>
      <w:r w:rsidRPr="00A34689">
        <w:t xml:space="preserve">Entrepreneurial Marketing (EM) </w:t>
      </w:r>
      <w:proofErr w:type="spellStart"/>
      <w:r w:rsidRPr="00A34689">
        <w:t>behavior</w:t>
      </w:r>
      <w:proofErr w:type="spellEnd"/>
      <w:r w:rsidRPr="00A34689">
        <w:t xml:space="preserve"> of </w:t>
      </w:r>
      <w:proofErr w:type="spellStart"/>
      <w:r w:rsidRPr="00A34689">
        <w:t>agripreneurs</w:t>
      </w:r>
      <w:proofErr w:type="spellEnd"/>
      <w:r w:rsidRPr="00A34689">
        <w:t xml:space="preserve"> participating in the Kisan Mela at GBPUAT, utilizing the </w:t>
      </w:r>
      <w:proofErr w:type="spellStart"/>
      <w:r w:rsidRPr="00A34689">
        <w:t>Alquatani</w:t>
      </w:r>
      <w:proofErr w:type="spellEnd"/>
      <w:r w:rsidRPr="00A34689">
        <w:t xml:space="preserve"> EM scale to assess five key domains: Innovative Marketing, Proactive Marketing, Resource Leveraging, Network Attention, and Acceptable Risk. The results demonstrated strong internal consistency across all constructs, with Cronbach’s Alpha values confirming the reliability of the scale. The inter-construct correlation analysis further revealed strong positive relationships among the domains, suggesting that these entrepreneurial </w:t>
      </w:r>
      <w:proofErr w:type="spellStart"/>
      <w:r w:rsidRPr="00A34689">
        <w:t>behaviors</w:t>
      </w:r>
      <w:proofErr w:type="spellEnd"/>
      <w:r w:rsidRPr="00A34689">
        <w:t xml:space="preserve"> are interconnected and often reinforce one another in </w:t>
      </w:r>
      <w:proofErr w:type="spellStart"/>
      <w:r w:rsidRPr="00A34689">
        <w:t>practice.The</w:t>
      </w:r>
      <w:proofErr w:type="spellEnd"/>
      <w:r w:rsidRPr="00A34689">
        <w:t xml:space="preserve"> findings highlight that </w:t>
      </w:r>
      <w:proofErr w:type="spellStart"/>
      <w:r w:rsidRPr="00A34689">
        <w:t>agripreneurs</w:t>
      </w:r>
      <w:proofErr w:type="spellEnd"/>
      <w:r w:rsidRPr="00A34689">
        <w:t xml:space="preserve"> who exhibit proactive marketing tendencies are also likely to be innovative, resourceful, well-networked, and willing to take calculated risks. This integrated nature of EM </w:t>
      </w:r>
      <w:proofErr w:type="spellStart"/>
      <w:r w:rsidRPr="00A34689">
        <w:t>behaviors</w:t>
      </w:r>
      <w:proofErr w:type="spellEnd"/>
      <w:r w:rsidRPr="00A34689">
        <w:t xml:space="preserve"> supports the applicability of the </w:t>
      </w:r>
      <w:proofErr w:type="spellStart"/>
      <w:r w:rsidRPr="00A34689">
        <w:t>Alquatani</w:t>
      </w:r>
      <w:proofErr w:type="spellEnd"/>
      <w:r w:rsidRPr="00A34689">
        <w:t xml:space="preserve"> scale in agricultural settings and reinforces its relevance in assessing entrepreneurial capacity among rural entrepreneurs. Importantly, the study underlines the critical role of social capital, resource optimization, and market foresight in enabling </w:t>
      </w:r>
      <w:proofErr w:type="spellStart"/>
      <w:r w:rsidRPr="00A34689">
        <w:t>agripreneurs</w:t>
      </w:r>
      <w:proofErr w:type="spellEnd"/>
      <w:r w:rsidRPr="00A34689">
        <w:t xml:space="preserve"> to thrive in dynamic and often uncertain </w:t>
      </w:r>
      <w:proofErr w:type="spellStart"/>
      <w:r w:rsidRPr="00A34689">
        <w:t>environments.Entrepreneurial</w:t>
      </w:r>
      <w:proofErr w:type="spellEnd"/>
      <w:r w:rsidRPr="00A34689">
        <w:t xml:space="preserve"> marketing among </w:t>
      </w:r>
      <w:proofErr w:type="spellStart"/>
      <w:r w:rsidRPr="00A34689">
        <w:t>agripreneurs</w:t>
      </w:r>
      <w:proofErr w:type="spellEnd"/>
      <w:r w:rsidRPr="00A34689">
        <w:t xml:space="preserve"> is not only measurable but also strategically actionable. Programs aiming to foster </w:t>
      </w:r>
      <w:proofErr w:type="spellStart"/>
      <w:r w:rsidRPr="00A34689">
        <w:t>agripreneurship</w:t>
      </w:r>
      <w:proofErr w:type="spellEnd"/>
      <w:r w:rsidRPr="00A34689">
        <w:t xml:space="preserve"> should take a holistic approach, promoting all dimensions of EM simultaneously. The insights derived from this research can serve as a foundation for designing more targeted, impactful, and sustainable entrepreneurship development interventions in the agricultural sector.</w:t>
      </w:r>
    </w:p>
    <w:p w:rsidR="002E5337" w:rsidRPr="00A34689" w:rsidRDefault="002E5337" w:rsidP="003B2FE9">
      <w:pPr>
        <w:spacing w:before="100" w:beforeAutospacing="1" w:after="100" w:afterAutospacing="1"/>
        <w:jc w:val="both"/>
        <w:rPr>
          <w:b/>
          <w:bCs/>
        </w:rPr>
      </w:pPr>
    </w:p>
    <w:p w:rsidR="007B50E2" w:rsidRPr="00A34689" w:rsidRDefault="007B50E2" w:rsidP="003B2FE9">
      <w:pPr>
        <w:spacing w:before="100" w:beforeAutospacing="1" w:after="100" w:afterAutospacing="1"/>
        <w:jc w:val="both"/>
      </w:pPr>
    </w:p>
    <w:p w:rsidR="00C83643" w:rsidRPr="00A34689" w:rsidRDefault="00C83643" w:rsidP="003B2FE9">
      <w:pPr>
        <w:spacing w:before="100" w:beforeAutospacing="1" w:after="100" w:afterAutospacing="1"/>
        <w:jc w:val="both"/>
        <w:rPr>
          <w:b/>
          <w:bCs/>
        </w:rPr>
      </w:pPr>
      <w:r w:rsidRPr="00A34689">
        <w:rPr>
          <w:b/>
          <w:bCs/>
        </w:rPr>
        <w:t xml:space="preserve">References: </w:t>
      </w:r>
    </w:p>
    <w:p w:rsidR="00E03249" w:rsidRPr="00A34689" w:rsidRDefault="00E03249" w:rsidP="003B2FE9">
      <w:pPr>
        <w:spacing w:before="100" w:beforeAutospacing="1" w:after="100" w:afterAutospacing="1"/>
        <w:jc w:val="both"/>
      </w:pPr>
      <w:proofErr w:type="spellStart"/>
      <w:r w:rsidRPr="00A34689">
        <w:t>Alquatani</w:t>
      </w:r>
      <w:proofErr w:type="spellEnd"/>
      <w:r w:rsidRPr="00A34689">
        <w:t xml:space="preserve">, A., Othman, A. R., &amp; Othman, R. (2021). Entrepreneurial marketing dimensions and their impact on performance of small enterprises: A conceptual framework. </w:t>
      </w:r>
      <w:r w:rsidRPr="00A34689">
        <w:rPr>
          <w:i/>
          <w:iCs/>
        </w:rPr>
        <w:t>Journal of Entrepreneurship in Emerging Economies</w:t>
      </w:r>
      <w:r w:rsidRPr="00A34689">
        <w:t>.</w:t>
      </w:r>
    </w:p>
    <w:p w:rsidR="00E03249" w:rsidRPr="00A34689" w:rsidRDefault="00E03249" w:rsidP="003B2FE9">
      <w:pPr>
        <w:spacing w:before="100" w:beforeAutospacing="1" w:after="100" w:afterAutospacing="1"/>
        <w:jc w:val="both"/>
      </w:pPr>
      <w:r w:rsidRPr="00A34689">
        <w:t xml:space="preserve">Becherer, R. C., Helms, M. M., &amp; McDonald, J. P. (2012). The effect of entrepreneurial marketing on outcome goals in SMEs. </w:t>
      </w:r>
      <w:r w:rsidRPr="00A34689">
        <w:rPr>
          <w:i/>
          <w:iCs/>
        </w:rPr>
        <w:t>New England Journal of Entrepreneurship</w:t>
      </w:r>
      <w:r w:rsidRPr="00A34689">
        <w:t>, 15(1), 7-18.</w:t>
      </w:r>
    </w:p>
    <w:p w:rsidR="00E03249" w:rsidRPr="00A34689" w:rsidRDefault="00E03249" w:rsidP="003B2FE9">
      <w:pPr>
        <w:spacing w:before="100" w:beforeAutospacing="1" w:after="100" w:afterAutospacing="1"/>
        <w:jc w:val="both"/>
      </w:pPr>
      <w:r w:rsidRPr="00A34689">
        <w:t xml:space="preserve">Bjerke, B., &amp; Hultman, C. M. (2002). </w:t>
      </w:r>
      <w:r w:rsidRPr="00A34689">
        <w:rPr>
          <w:i/>
          <w:iCs/>
        </w:rPr>
        <w:t>Entrepreneurial marketing: The growth of small firms in the new economic era</w:t>
      </w:r>
      <w:r w:rsidRPr="00A34689">
        <w:t>. Edward Elgar Publishing.</w:t>
      </w:r>
    </w:p>
    <w:p w:rsidR="00E03249" w:rsidRPr="00A34689" w:rsidRDefault="00E03249" w:rsidP="003B2FE9">
      <w:pPr>
        <w:spacing w:before="100" w:beforeAutospacing="1" w:after="100" w:afterAutospacing="1"/>
        <w:jc w:val="both"/>
      </w:pPr>
      <w:r w:rsidRPr="00A34689">
        <w:t xml:space="preserve"> Hills, G. E., Hultman, C., &amp; Miles, M. P. (2008). The evolution and development of entrepreneurial marketing. </w:t>
      </w:r>
      <w:r w:rsidRPr="00A34689">
        <w:rPr>
          <w:i/>
          <w:iCs/>
        </w:rPr>
        <w:t>Journal of Small Business Management</w:t>
      </w:r>
      <w:r w:rsidRPr="00A34689">
        <w:t>, 46(1), 99-112.</w:t>
      </w:r>
    </w:p>
    <w:p w:rsidR="00E03249" w:rsidRPr="00A34689" w:rsidRDefault="00E03249" w:rsidP="003B2FE9">
      <w:pPr>
        <w:spacing w:before="100" w:beforeAutospacing="1" w:after="100" w:afterAutospacing="1"/>
        <w:jc w:val="both"/>
      </w:pPr>
      <w:r w:rsidRPr="00A34689">
        <w:lastRenderedPageBreak/>
        <w:t xml:space="preserve">Kraus, S., Harms, R., &amp; Fink, M. (2012). Entrepreneurial marketing: Moving beyond marketing in new ventures. </w:t>
      </w:r>
      <w:r w:rsidRPr="00A34689">
        <w:rPr>
          <w:i/>
          <w:iCs/>
        </w:rPr>
        <w:t>International Journal of Entrepreneurship and Innovation Management</w:t>
      </w:r>
      <w:r w:rsidRPr="00A34689">
        <w:t>, 16(4), 294–308.</w:t>
      </w:r>
    </w:p>
    <w:p w:rsidR="00E03249" w:rsidRPr="00A34689" w:rsidRDefault="00E03249" w:rsidP="003B2FE9">
      <w:pPr>
        <w:spacing w:before="100" w:beforeAutospacing="1" w:after="100" w:afterAutospacing="1"/>
        <w:jc w:val="both"/>
      </w:pPr>
      <w:r w:rsidRPr="00A34689">
        <w:t xml:space="preserve">Morris, M. H., </w:t>
      </w:r>
      <w:proofErr w:type="spellStart"/>
      <w:r w:rsidRPr="00A34689">
        <w:t>Schindehutte</w:t>
      </w:r>
      <w:proofErr w:type="spellEnd"/>
      <w:r w:rsidRPr="00A34689">
        <w:t xml:space="preserve">, M., &amp; LaForge, R. W. (2002). Entrepreneurial marketing: A construct for integrating emerging entrepreneurship and marketing perspectives. </w:t>
      </w:r>
      <w:r w:rsidRPr="00A34689">
        <w:rPr>
          <w:i/>
          <w:iCs/>
        </w:rPr>
        <w:t>Journal of Marketing Theory and Practice</w:t>
      </w:r>
      <w:r w:rsidRPr="00A34689">
        <w:t>, 10(4), 1–19.</w:t>
      </w:r>
    </w:p>
    <w:p w:rsidR="00E03249" w:rsidRPr="00A34689" w:rsidRDefault="00E03249" w:rsidP="003B2FE9">
      <w:pPr>
        <w:spacing w:before="100" w:beforeAutospacing="1" w:after="100" w:afterAutospacing="1"/>
        <w:jc w:val="both"/>
      </w:pPr>
      <w:r w:rsidRPr="00A34689">
        <w:t xml:space="preserve">Stokes, D. (2000). Putting entrepreneurship into marketing: The processes of entrepreneurial marketing. </w:t>
      </w:r>
      <w:r w:rsidRPr="00A34689">
        <w:rPr>
          <w:i/>
          <w:iCs/>
        </w:rPr>
        <w:t>Journal of Research in Marketing and Entrepreneurship</w:t>
      </w:r>
      <w:r w:rsidRPr="00A34689">
        <w:t>, 2(1), 1–16.</w:t>
      </w:r>
    </w:p>
    <w:p w:rsidR="00263BF2" w:rsidRPr="00A34689" w:rsidRDefault="00263BF2" w:rsidP="003B2FE9">
      <w:pPr>
        <w:spacing w:before="100" w:beforeAutospacing="1" w:after="100" w:afterAutospacing="1"/>
        <w:jc w:val="both"/>
      </w:pPr>
      <w:r w:rsidRPr="00A34689">
        <w:t xml:space="preserve">Alqahtani, N., Macpherson, A., &amp; Wilson, A. (2022). Entrepreneurial marketing in small and medium enterprises: Scale development and validation. </w:t>
      </w:r>
      <w:r w:rsidRPr="00A34689">
        <w:rPr>
          <w:rStyle w:val="Emphasis"/>
        </w:rPr>
        <w:t>Journal of Business Research, 139</w:t>
      </w:r>
      <w:r w:rsidRPr="00A34689">
        <w:t>, 250–262. https://doi.org/10.1016/j.jbusres.2021.09.019</w:t>
      </w:r>
    </w:p>
    <w:p w:rsidR="00C83643" w:rsidRPr="00A34689" w:rsidRDefault="00C83643" w:rsidP="003B2FE9">
      <w:pPr>
        <w:spacing w:before="100" w:beforeAutospacing="1" w:after="100" w:afterAutospacing="1"/>
        <w:jc w:val="both"/>
      </w:pPr>
      <w:r w:rsidRPr="00A34689">
        <w:t xml:space="preserve">GBPUAT. (2025). </w:t>
      </w:r>
      <w:r w:rsidRPr="00A34689">
        <w:rPr>
          <w:i/>
          <w:iCs/>
        </w:rPr>
        <w:t>117th All India Farmers' Fair and Agricultural Industry Exhibition</w:t>
      </w:r>
      <w:r w:rsidRPr="00A34689">
        <w:t xml:space="preserve">. Govind Ballabh Pant University of Agriculture and Technology. Retrieved from </w:t>
      </w:r>
      <w:hyperlink r:id="rId5" w:tgtFrame="_new" w:history="1">
        <w:r w:rsidRPr="00A34689">
          <w:rPr>
            <w:color w:val="0000FF"/>
            <w:u w:val="single"/>
          </w:rPr>
          <w:t>https://www.gbpuat.ac.in/mela/index.html</w:t>
        </w:r>
      </w:hyperlink>
    </w:p>
    <w:p w:rsidR="00C83643" w:rsidRPr="00A34689" w:rsidRDefault="00C83643" w:rsidP="003B2FE9">
      <w:pPr>
        <w:spacing w:before="100" w:beforeAutospacing="1" w:after="100" w:afterAutospacing="1"/>
        <w:jc w:val="both"/>
      </w:pPr>
      <w:proofErr w:type="spellStart"/>
      <w:r w:rsidRPr="00A34689">
        <w:t>Kandpal</w:t>
      </w:r>
      <w:proofErr w:type="spellEnd"/>
      <w:r w:rsidRPr="00A34689">
        <w:t xml:space="preserve">, A. S., &amp; Sharma, A. (2024). Entrepreneurial Marketing </w:t>
      </w:r>
      <w:proofErr w:type="spellStart"/>
      <w:r w:rsidRPr="00A34689">
        <w:t>Behavior</w:t>
      </w:r>
      <w:proofErr w:type="spellEnd"/>
      <w:r w:rsidRPr="00A34689">
        <w:t xml:space="preserve"> of </w:t>
      </w:r>
      <w:proofErr w:type="spellStart"/>
      <w:r w:rsidRPr="00A34689">
        <w:t>Agripreneurs</w:t>
      </w:r>
      <w:proofErr w:type="spellEnd"/>
      <w:r w:rsidRPr="00A34689">
        <w:t>: Challenges and Opportunities.</w:t>
      </w:r>
      <w:r w:rsidR="003B2FE9">
        <w:t xml:space="preserve"> </w:t>
      </w:r>
      <w:r w:rsidRPr="00A34689">
        <w:rPr>
          <w:i/>
          <w:iCs/>
        </w:rPr>
        <w:t>ResearchGate</w:t>
      </w:r>
      <w:r w:rsidRPr="00A34689">
        <w:t xml:space="preserve">. Retrieved from </w:t>
      </w:r>
      <w:hyperlink r:id="rId6" w:tgtFrame="_new" w:history="1">
        <w:r w:rsidRPr="00A34689">
          <w:rPr>
            <w:color w:val="0000FF"/>
            <w:u w:val="single"/>
          </w:rPr>
          <w:t>https://www.researchgate.net/publication/378129610_Entrepreneurial_Marketing_Behavior_of_Agripreneurs_Challenges_and_Opportunities</w:t>
        </w:r>
      </w:hyperlink>
    </w:p>
    <w:p w:rsidR="00C83643" w:rsidRDefault="00C83643" w:rsidP="003B2FE9">
      <w:pPr>
        <w:spacing w:before="100" w:beforeAutospacing="1" w:after="100" w:afterAutospacing="1"/>
        <w:jc w:val="both"/>
      </w:pPr>
      <w:r w:rsidRPr="00A34689">
        <w:t xml:space="preserve">Kisan of India. (2022). Pantnagar Kisan Mela 2022 Highlights. </w:t>
      </w:r>
      <w:r w:rsidRPr="00A34689">
        <w:rPr>
          <w:i/>
          <w:iCs/>
        </w:rPr>
        <w:t>Kisan of India</w:t>
      </w:r>
      <w:r w:rsidRPr="00A34689">
        <w:t xml:space="preserve">. Retrieved from </w:t>
      </w:r>
      <w:hyperlink r:id="rId7" w:history="1">
        <w:r w:rsidR="00DE1EFC" w:rsidRPr="009E604A">
          <w:rPr>
            <w:rStyle w:val="Hyperlink"/>
          </w:rPr>
          <w:t>https://www.kisanofindia.com/latest-news/pantnagar-kisan-mela-2022-highlights/14058</w:t>
        </w:r>
      </w:hyperlink>
    </w:p>
    <w:p w:rsidR="00DE1EFC" w:rsidRDefault="00DE1EFC" w:rsidP="003B2FE9">
      <w:pPr>
        <w:spacing w:before="100" w:beforeAutospacing="1" w:after="100" w:afterAutospacing="1"/>
        <w:jc w:val="both"/>
      </w:pPr>
      <w:r>
        <w:rPr>
          <w:rFonts w:hAnsi="Symbol"/>
        </w:rPr>
        <w:t></w:t>
      </w:r>
      <w:r>
        <w:t xml:space="preserve">  Morris, M.H., </w:t>
      </w:r>
      <w:proofErr w:type="spellStart"/>
      <w:r>
        <w:t>Schindehutte</w:t>
      </w:r>
      <w:proofErr w:type="spellEnd"/>
      <w:r>
        <w:t xml:space="preserve">, M., &amp; LaForge, R.W. (2002). Entrepreneurial marketing: A construct for integrating emerging entrepreneurship and marketing perspectives. </w:t>
      </w:r>
      <w:r>
        <w:rPr>
          <w:rStyle w:val="Emphasis"/>
          <w:rFonts w:eastAsiaTheme="majorEastAsia"/>
        </w:rPr>
        <w:t>Journal of Marketing Theory and Practice</w:t>
      </w:r>
      <w:r>
        <w:t>, 10(4), 1–19.</w:t>
      </w:r>
    </w:p>
    <w:p w:rsidR="00DE1EFC" w:rsidRDefault="00DE1EFC" w:rsidP="003B2FE9">
      <w:pPr>
        <w:spacing w:before="100" w:beforeAutospacing="1" w:after="100" w:afterAutospacing="1"/>
        <w:jc w:val="both"/>
      </w:pPr>
      <w:r>
        <w:rPr>
          <w:rFonts w:hAnsi="Symbol"/>
        </w:rPr>
        <w:t></w:t>
      </w:r>
      <w:r>
        <w:t xml:space="preserve">  Miles, M.P., &amp; Darroch, J. (2006). Large firms, entrepreneurial marketing processes, and the cycle of competitive advantage. </w:t>
      </w:r>
      <w:r>
        <w:rPr>
          <w:rStyle w:val="Emphasis"/>
          <w:rFonts w:eastAsiaTheme="majorEastAsia"/>
        </w:rPr>
        <w:t>European Journal of Marketing</w:t>
      </w:r>
      <w:r>
        <w:t>, 40(5/6), 485–501.</w:t>
      </w:r>
    </w:p>
    <w:p w:rsidR="00DE1EFC" w:rsidRDefault="00DE1EFC" w:rsidP="003B2FE9">
      <w:pPr>
        <w:spacing w:before="100" w:beforeAutospacing="1" w:after="100" w:afterAutospacing="1"/>
        <w:jc w:val="both"/>
      </w:pPr>
      <w:r>
        <w:rPr>
          <w:rFonts w:hAnsi="Symbol"/>
        </w:rPr>
        <w:t></w:t>
      </w:r>
      <w:r>
        <w:t xml:space="preserve">  Kraus, S., Harms, R., &amp; Fink, M. (2012). Entrepreneurial marketing: Moving beyond marketing in new ventures. </w:t>
      </w:r>
      <w:r>
        <w:rPr>
          <w:rStyle w:val="Emphasis"/>
          <w:rFonts w:eastAsiaTheme="majorEastAsia"/>
        </w:rPr>
        <w:t>International Journal of Entrepreneurship and Innovation Management</w:t>
      </w:r>
      <w:r>
        <w:t>, 16(4), 194–206.</w:t>
      </w:r>
    </w:p>
    <w:p w:rsidR="00DE1EFC" w:rsidRDefault="00DE1EFC" w:rsidP="003B2FE9">
      <w:pPr>
        <w:spacing w:before="100" w:beforeAutospacing="1" w:after="100" w:afterAutospacing="1"/>
        <w:jc w:val="both"/>
      </w:pPr>
      <w:r>
        <w:rPr>
          <w:rFonts w:hAnsi="Symbol"/>
        </w:rPr>
        <w:t></w:t>
      </w:r>
      <w:r>
        <w:t xml:space="preserve">  Linh, N.T.T., Tung, N.T., &amp; Son, N.H. (2021). The influence of entrepreneurial marketing on firm performance in agriculture. </w:t>
      </w:r>
      <w:r>
        <w:rPr>
          <w:rStyle w:val="Emphasis"/>
          <w:rFonts w:eastAsiaTheme="majorEastAsia"/>
        </w:rPr>
        <w:t>Journal of Small Business and Enterprise Development</w:t>
      </w:r>
      <w:r>
        <w:t>, 28(2), 200–218.</w:t>
      </w:r>
    </w:p>
    <w:p w:rsidR="00DE1EFC" w:rsidRDefault="00DE1EFC" w:rsidP="003B2FE9">
      <w:pPr>
        <w:spacing w:before="100" w:beforeAutospacing="1" w:after="100" w:afterAutospacing="1"/>
        <w:jc w:val="both"/>
      </w:pPr>
      <w:r>
        <w:rPr>
          <w:rFonts w:hAnsi="Symbol"/>
        </w:rPr>
        <w:t></w:t>
      </w:r>
      <w:r>
        <w:t xml:space="preserve">  Jones, R., &amp; Rowley, J. (2011). Entrepreneurial marketing in small businesses: A conceptual exploration. </w:t>
      </w:r>
      <w:r>
        <w:rPr>
          <w:rStyle w:val="Emphasis"/>
          <w:rFonts w:eastAsiaTheme="majorEastAsia"/>
        </w:rPr>
        <w:t>International Small Business Journal</w:t>
      </w:r>
      <w:r>
        <w:t>, 29(1), 25–36.</w:t>
      </w:r>
    </w:p>
    <w:p w:rsidR="00DE1EFC" w:rsidRDefault="00DE1EFC" w:rsidP="003B2FE9">
      <w:pPr>
        <w:spacing w:before="100" w:beforeAutospacing="1" w:after="100" w:afterAutospacing="1"/>
        <w:jc w:val="both"/>
      </w:pPr>
      <w:r>
        <w:rPr>
          <w:rFonts w:hAnsi="Symbol"/>
        </w:rPr>
        <w:t></w:t>
      </w:r>
      <w:r>
        <w:t xml:space="preserve">  GBPUAT. (2025). All India Farmers' Fair and Agricultural Industry Exhibition. Govind Ballabh Pant University of Agriculture &amp; Technology.</w:t>
      </w:r>
    </w:p>
    <w:p w:rsidR="00DE1EFC" w:rsidRDefault="00DE1EFC" w:rsidP="003B2FE9">
      <w:pPr>
        <w:spacing w:before="100" w:beforeAutospacing="1" w:after="100" w:afterAutospacing="1"/>
        <w:jc w:val="both"/>
      </w:pPr>
      <w:r>
        <w:rPr>
          <w:rFonts w:hAnsi="Symbol"/>
        </w:rPr>
        <w:lastRenderedPageBreak/>
        <w:t></w:t>
      </w:r>
      <w:r>
        <w:t xml:space="preserve">  Ministry of Agriculture &amp; Farmers Welfare (</w:t>
      </w:r>
      <w:proofErr w:type="spellStart"/>
      <w:r>
        <w:t>MoA&amp;FW</w:t>
      </w:r>
      <w:proofErr w:type="spellEnd"/>
      <w:r>
        <w:t xml:space="preserve">). (2024). </w:t>
      </w:r>
      <w:proofErr w:type="spellStart"/>
      <w:r>
        <w:t>Atmanirbhar</w:t>
      </w:r>
      <w:proofErr w:type="spellEnd"/>
      <w:r>
        <w:t xml:space="preserve"> Krishi: Roadmap for Self-Reliant Agriculture.</w:t>
      </w:r>
    </w:p>
    <w:p w:rsidR="00DE7193" w:rsidRDefault="00DE7193" w:rsidP="003B2FE9">
      <w:pPr>
        <w:spacing w:before="100" w:beforeAutospacing="1" w:after="100" w:afterAutospacing="1"/>
        <w:jc w:val="both"/>
      </w:pPr>
      <w:proofErr w:type="spellStart"/>
      <w:r>
        <w:t>Calantone</w:t>
      </w:r>
      <w:proofErr w:type="spellEnd"/>
      <w:r>
        <w:t xml:space="preserve">, R. J., </w:t>
      </w:r>
      <w:proofErr w:type="spellStart"/>
      <w:r>
        <w:t>Cavusgil</w:t>
      </w:r>
      <w:proofErr w:type="spellEnd"/>
      <w:r>
        <w:t xml:space="preserve">, S. T., &amp; Zhao, Y. (2002). </w:t>
      </w:r>
      <w:r>
        <w:rPr>
          <w:rStyle w:val="Emphasis"/>
          <w:rFonts w:eastAsiaTheme="majorEastAsia"/>
        </w:rPr>
        <w:t>Learning orientation, firm innovation capability, and firm performance</w:t>
      </w:r>
      <w:r>
        <w:t>. Industrial Marketing Management, 31(6), 515–524. https://doi.org/10.1016/S0019-8501(01)00203-6</w:t>
      </w:r>
    </w:p>
    <w:p w:rsidR="00B161A5" w:rsidRDefault="00B161A5" w:rsidP="003B2FE9">
      <w:pPr>
        <w:spacing w:before="100" w:beforeAutospacing="1" w:after="100" w:afterAutospacing="1"/>
        <w:jc w:val="both"/>
      </w:pPr>
    </w:p>
    <w:p w:rsidR="00B161A5" w:rsidRDefault="00B161A5" w:rsidP="003B2FE9">
      <w:pPr>
        <w:spacing w:before="100" w:beforeAutospacing="1" w:after="100" w:afterAutospacing="1"/>
        <w:jc w:val="both"/>
      </w:pPr>
    </w:p>
    <w:p w:rsidR="00B161A5" w:rsidRDefault="00B161A5" w:rsidP="003B2FE9">
      <w:pPr>
        <w:spacing w:before="100" w:beforeAutospacing="1" w:after="100" w:afterAutospacing="1"/>
        <w:jc w:val="both"/>
      </w:pPr>
    </w:p>
    <w:p w:rsidR="00DE1EFC" w:rsidRPr="00A34689" w:rsidRDefault="00DE1EFC" w:rsidP="003B2FE9">
      <w:pPr>
        <w:spacing w:before="100" w:beforeAutospacing="1" w:after="100" w:afterAutospacing="1"/>
        <w:jc w:val="both"/>
      </w:pPr>
    </w:p>
    <w:p w:rsidR="00C83643" w:rsidRPr="00A34689" w:rsidRDefault="00C83643" w:rsidP="003B2FE9">
      <w:pPr>
        <w:spacing w:before="100" w:beforeAutospacing="1" w:after="100" w:afterAutospacing="1"/>
        <w:jc w:val="both"/>
      </w:pPr>
    </w:p>
    <w:p w:rsidR="00C83643" w:rsidRPr="00A34689" w:rsidRDefault="00C83643" w:rsidP="003B2FE9">
      <w:pPr>
        <w:spacing w:before="100" w:beforeAutospacing="1" w:after="100" w:afterAutospacing="1"/>
        <w:jc w:val="both"/>
      </w:pPr>
    </w:p>
    <w:p w:rsidR="00C83643" w:rsidRPr="00A34689" w:rsidRDefault="00C83643" w:rsidP="003B2FE9">
      <w:pPr>
        <w:spacing w:before="100" w:beforeAutospacing="1" w:after="100" w:afterAutospacing="1"/>
        <w:jc w:val="both"/>
      </w:pPr>
    </w:p>
    <w:p w:rsidR="00C83643" w:rsidRPr="00A34689" w:rsidRDefault="00C83643" w:rsidP="003B2FE9">
      <w:pPr>
        <w:spacing w:before="100" w:beforeAutospacing="1" w:after="100" w:afterAutospacing="1"/>
        <w:jc w:val="both"/>
      </w:pPr>
    </w:p>
    <w:p w:rsidR="00C83643" w:rsidRPr="00A34689" w:rsidRDefault="00C83643" w:rsidP="003B2FE9">
      <w:pPr>
        <w:spacing w:before="100" w:beforeAutospacing="1" w:after="100" w:afterAutospacing="1"/>
        <w:jc w:val="both"/>
      </w:pPr>
    </w:p>
    <w:p w:rsidR="00C83643" w:rsidRPr="00A34689" w:rsidRDefault="00C83643" w:rsidP="003B2FE9">
      <w:pPr>
        <w:spacing w:before="100" w:beforeAutospacing="1" w:after="100" w:afterAutospacing="1"/>
        <w:jc w:val="both"/>
      </w:pPr>
    </w:p>
    <w:p w:rsidR="00C928A5" w:rsidRPr="00A34689" w:rsidRDefault="00C928A5" w:rsidP="003B2FE9">
      <w:pPr>
        <w:jc w:val="both"/>
      </w:pPr>
    </w:p>
    <w:sectPr w:rsidR="00C928A5" w:rsidRPr="00A346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45592"/>
    <w:multiLevelType w:val="multilevel"/>
    <w:tmpl w:val="0C7A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F22346"/>
    <w:multiLevelType w:val="hybridMultilevel"/>
    <w:tmpl w:val="A7363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C725A1"/>
    <w:multiLevelType w:val="hybridMultilevel"/>
    <w:tmpl w:val="E3143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1828319">
    <w:abstractNumId w:val="0"/>
  </w:num>
  <w:num w:numId="2" w16cid:durableId="1057586146">
    <w:abstractNumId w:val="2"/>
  </w:num>
  <w:num w:numId="3" w16cid:durableId="1729066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43"/>
    <w:rsid w:val="00043A8B"/>
    <w:rsid w:val="00044D89"/>
    <w:rsid w:val="001653F1"/>
    <w:rsid w:val="001A078F"/>
    <w:rsid w:val="00263BF2"/>
    <w:rsid w:val="002E5337"/>
    <w:rsid w:val="002E5A84"/>
    <w:rsid w:val="00305936"/>
    <w:rsid w:val="003A0478"/>
    <w:rsid w:val="003B2FE9"/>
    <w:rsid w:val="003C07C4"/>
    <w:rsid w:val="0043709C"/>
    <w:rsid w:val="00453A03"/>
    <w:rsid w:val="00457300"/>
    <w:rsid w:val="004746DE"/>
    <w:rsid w:val="004B2B26"/>
    <w:rsid w:val="004D0920"/>
    <w:rsid w:val="004F465E"/>
    <w:rsid w:val="00566252"/>
    <w:rsid w:val="006051CA"/>
    <w:rsid w:val="0060779C"/>
    <w:rsid w:val="00696DE9"/>
    <w:rsid w:val="006E2E2F"/>
    <w:rsid w:val="006E79F0"/>
    <w:rsid w:val="00700B8A"/>
    <w:rsid w:val="007A5DF7"/>
    <w:rsid w:val="007B50E2"/>
    <w:rsid w:val="007E42DC"/>
    <w:rsid w:val="008105F8"/>
    <w:rsid w:val="00861A8F"/>
    <w:rsid w:val="00897BBB"/>
    <w:rsid w:val="008C3E9D"/>
    <w:rsid w:val="009465AB"/>
    <w:rsid w:val="00A13863"/>
    <w:rsid w:val="00A34689"/>
    <w:rsid w:val="00A61006"/>
    <w:rsid w:val="00A904D2"/>
    <w:rsid w:val="00AE318A"/>
    <w:rsid w:val="00AF64C9"/>
    <w:rsid w:val="00B161A5"/>
    <w:rsid w:val="00B30601"/>
    <w:rsid w:val="00B63933"/>
    <w:rsid w:val="00BD51C7"/>
    <w:rsid w:val="00C83643"/>
    <w:rsid w:val="00C928A5"/>
    <w:rsid w:val="00CB375D"/>
    <w:rsid w:val="00CC28F6"/>
    <w:rsid w:val="00DA275E"/>
    <w:rsid w:val="00DE1EFC"/>
    <w:rsid w:val="00DE7193"/>
    <w:rsid w:val="00DF308D"/>
    <w:rsid w:val="00E03249"/>
    <w:rsid w:val="00E14F06"/>
    <w:rsid w:val="00E7208A"/>
    <w:rsid w:val="00E771A1"/>
    <w:rsid w:val="00F94AF0"/>
    <w:rsid w:val="00FC70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227A"/>
  <w15:chartTrackingRefBased/>
  <w15:docId w15:val="{F67B116B-1222-E14E-A1A2-1D19BA50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A8B"/>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83643"/>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83643"/>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C83643"/>
    <w:pPr>
      <w:keepNext/>
      <w:keepLines/>
      <w:spacing w:before="160" w:after="80"/>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unhideWhenUsed/>
    <w:qFormat/>
    <w:rsid w:val="00C83643"/>
    <w:pPr>
      <w:keepNext/>
      <w:keepLines/>
      <w:spacing w:before="80" w:after="40"/>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C83643"/>
    <w:pPr>
      <w:keepNext/>
      <w:keepLines/>
      <w:spacing w:before="80" w:after="40"/>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C83643"/>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C83643"/>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C83643"/>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C83643"/>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6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36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836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836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36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36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6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6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643"/>
    <w:rPr>
      <w:rFonts w:eastAsiaTheme="majorEastAsia" w:cstheme="majorBidi"/>
      <w:color w:val="272727" w:themeColor="text1" w:themeTint="D8"/>
    </w:rPr>
  </w:style>
  <w:style w:type="paragraph" w:styleId="Title">
    <w:name w:val="Title"/>
    <w:basedOn w:val="Normal"/>
    <w:next w:val="Normal"/>
    <w:link w:val="TitleChar"/>
    <w:uiPriority w:val="10"/>
    <w:qFormat/>
    <w:rsid w:val="00C8364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83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643"/>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836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643"/>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C83643"/>
    <w:rPr>
      <w:i/>
      <w:iCs/>
      <w:color w:val="404040" w:themeColor="text1" w:themeTint="BF"/>
    </w:rPr>
  </w:style>
  <w:style w:type="paragraph" w:styleId="ListParagraph">
    <w:name w:val="List Paragraph"/>
    <w:basedOn w:val="Normal"/>
    <w:uiPriority w:val="34"/>
    <w:qFormat/>
    <w:rsid w:val="00C83643"/>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C83643"/>
    <w:rPr>
      <w:i/>
      <w:iCs/>
      <w:color w:val="2F5496" w:themeColor="accent1" w:themeShade="BF"/>
    </w:rPr>
  </w:style>
  <w:style w:type="paragraph" w:styleId="IntenseQuote">
    <w:name w:val="Intense Quote"/>
    <w:basedOn w:val="Normal"/>
    <w:next w:val="Normal"/>
    <w:link w:val="IntenseQuoteChar"/>
    <w:uiPriority w:val="30"/>
    <w:qFormat/>
    <w:rsid w:val="00C83643"/>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C83643"/>
    <w:rPr>
      <w:i/>
      <w:iCs/>
      <w:color w:val="2F5496" w:themeColor="accent1" w:themeShade="BF"/>
    </w:rPr>
  </w:style>
  <w:style w:type="character" w:styleId="IntenseReference">
    <w:name w:val="Intense Reference"/>
    <w:basedOn w:val="DefaultParagraphFont"/>
    <w:uiPriority w:val="32"/>
    <w:qFormat/>
    <w:rsid w:val="00C83643"/>
    <w:rPr>
      <w:b/>
      <w:bCs/>
      <w:smallCaps/>
      <w:color w:val="2F5496" w:themeColor="accent1" w:themeShade="BF"/>
      <w:spacing w:val="5"/>
    </w:rPr>
  </w:style>
  <w:style w:type="character" w:styleId="Emphasis">
    <w:name w:val="Emphasis"/>
    <w:basedOn w:val="DefaultParagraphFont"/>
    <w:uiPriority w:val="20"/>
    <w:qFormat/>
    <w:rsid w:val="00C83643"/>
    <w:rPr>
      <w:i/>
      <w:iCs/>
    </w:rPr>
  </w:style>
  <w:style w:type="character" w:styleId="Hyperlink">
    <w:name w:val="Hyperlink"/>
    <w:basedOn w:val="DefaultParagraphFont"/>
    <w:uiPriority w:val="99"/>
    <w:unhideWhenUsed/>
    <w:rsid w:val="00C83643"/>
    <w:rPr>
      <w:color w:val="0000FF"/>
      <w:u w:val="single"/>
    </w:rPr>
  </w:style>
  <w:style w:type="character" w:styleId="Strong">
    <w:name w:val="Strong"/>
    <w:basedOn w:val="DefaultParagraphFont"/>
    <w:uiPriority w:val="22"/>
    <w:qFormat/>
    <w:rsid w:val="00C83643"/>
    <w:rPr>
      <w:b/>
      <w:bCs/>
    </w:rPr>
  </w:style>
  <w:style w:type="character" w:customStyle="1" w:styleId="relative">
    <w:name w:val="relative"/>
    <w:basedOn w:val="DefaultParagraphFont"/>
    <w:rsid w:val="00263BF2"/>
  </w:style>
  <w:style w:type="character" w:customStyle="1" w:styleId="ms-1">
    <w:name w:val="ms-1"/>
    <w:basedOn w:val="DefaultParagraphFont"/>
    <w:rsid w:val="00263BF2"/>
  </w:style>
  <w:style w:type="character" w:customStyle="1" w:styleId="max-w-full">
    <w:name w:val="max-w-full"/>
    <w:basedOn w:val="DefaultParagraphFont"/>
    <w:rsid w:val="00263BF2"/>
  </w:style>
  <w:style w:type="paragraph" w:styleId="NormalWeb">
    <w:name w:val="Normal (Web)"/>
    <w:basedOn w:val="Normal"/>
    <w:uiPriority w:val="99"/>
    <w:unhideWhenUsed/>
    <w:rsid w:val="00FC7003"/>
    <w:pPr>
      <w:spacing w:before="100" w:beforeAutospacing="1" w:after="100" w:afterAutospacing="1"/>
    </w:pPr>
  </w:style>
  <w:style w:type="character" w:styleId="UnresolvedMention">
    <w:name w:val="Unresolved Mention"/>
    <w:basedOn w:val="DefaultParagraphFont"/>
    <w:uiPriority w:val="99"/>
    <w:semiHidden/>
    <w:unhideWhenUsed/>
    <w:rsid w:val="00DE1EFC"/>
    <w:rPr>
      <w:color w:val="605E5C"/>
      <w:shd w:val="clear" w:color="auto" w:fill="E1DFDD"/>
    </w:rPr>
  </w:style>
  <w:style w:type="character" w:customStyle="1" w:styleId="apple-converted-space">
    <w:name w:val="apple-converted-space"/>
    <w:basedOn w:val="DefaultParagraphFont"/>
    <w:rsid w:val="00457300"/>
  </w:style>
  <w:style w:type="paragraph" w:customStyle="1" w:styleId="p1">
    <w:name w:val="p1"/>
    <w:basedOn w:val="Normal"/>
    <w:rsid w:val="00566252"/>
    <w:rPr>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0717">
      <w:bodyDiv w:val="1"/>
      <w:marLeft w:val="0"/>
      <w:marRight w:val="0"/>
      <w:marTop w:val="0"/>
      <w:marBottom w:val="0"/>
      <w:divBdr>
        <w:top w:val="none" w:sz="0" w:space="0" w:color="auto"/>
        <w:left w:val="none" w:sz="0" w:space="0" w:color="auto"/>
        <w:bottom w:val="none" w:sz="0" w:space="0" w:color="auto"/>
        <w:right w:val="none" w:sz="0" w:space="0" w:color="auto"/>
      </w:divBdr>
    </w:div>
    <w:div w:id="63989685">
      <w:bodyDiv w:val="1"/>
      <w:marLeft w:val="0"/>
      <w:marRight w:val="0"/>
      <w:marTop w:val="0"/>
      <w:marBottom w:val="0"/>
      <w:divBdr>
        <w:top w:val="none" w:sz="0" w:space="0" w:color="auto"/>
        <w:left w:val="none" w:sz="0" w:space="0" w:color="auto"/>
        <w:bottom w:val="none" w:sz="0" w:space="0" w:color="auto"/>
        <w:right w:val="none" w:sz="0" w:space="0" w:color="auto"/>
      </w:divBdr>
    </w:div>
    <w:div w:id="78672289">
      <w:bodyDiv w:val="1"/>
      <w:marLeft w:val="0"/>
      <w:marRight w:val="0"/>
      <w:marTop w:val="0"/>
      <w:marBottom w:val="0"/>
      <w:divBdr>
        <w:top w:val="none" w:sz="0" w:space="0" w:color="auto"/>
        <w:left w:val="none" w:sz="0" w:space="0" w:color="auto"/>
        <w:bottom w:val="none" w:sz="0" w:space="0" w:color="auto"/>
        <w:right w:val="none" w:sz="0" w:space="0" w:color="auto"/>
      </w:divBdr>
    </w:div>
    <w:div w:id="93015293">
      <w:bodyDiv w:val="1"/>
      <w:marLeft w:val="0"/>
      <w:marRight w:val="0"/>
      <w:marTop w:val="0"/>
      <w:marBottom w:val="0"/>
      <w:divBdr>
        <w:top w:val="none" w:sz="0" w:space="0" w:color="auto"/>
        <w:left w:val="none" w:sz="0" w:space="0" w:color="auto"/>
        <w:bottom w:val="none" w:sz="0" w:space="0" w:color="auto"/>
        <w:right w:val="none" w:sz="0" w:space="0" w:color="auto"/>
      </w:divBdr>
    </w:div>
    <w:div w:id="181747792">
      <w:bodyDiv w:val="1"/>
      <w:marLeft w:val="0"/>
      <w:marRight w:val="0"/>
      <w:marTop w:val="0"/>
      <w:marBottom w:val="0"/>
      <w:divBdr>
        <w:top w:val="none" w:sz="0" w:space="0" w:color="auto"/>
        <w:left w:val="none" w:sz="0" w:space="0" w:color="auto"/>
        <w:bottom w:val="none" w:sz="0" w:space="0" w:color="auto"/>
        <w:right w:val="none" w:sz="0" w:space="0" w:color="auto"/>
      </w:divBdr>
      <w:divsChild>
        <w:div w:id="1241063932">
          <w:marLeft w:val="0"/>
          <w:marRight w:val="0"/>
          <w:marTop w:val="0"/>
          <w:marBottom w:val="0"/>
          <w:divBdr>
            <w:top w:val="none" w:sz="0" w:space="0" w:color="auto"/>
            <w:left w:val="none" w:sz="0" w:space="0" w:color="auto"/>
            <w:bottom w:val="none" w:sz="0" w:space="0" w:color="auto"/>
            <w:right w:val="none" w:sz="0" w:space="0" w:color="auto"/>
          </w:divBdr>
        </w:div>
        <w:div w:id="1226186978">
          <w:marLeft w:val="0"/>
          <w:marRight w:val="0"/>
          <w:marTop w:val="0"/>
          <w:marBottom w:val="0"/>
          <w:divBdr>
            <w:top w:val="none" w:sz="0" w:space="0" w:color="auto"/>
            <w:left w:val="none" w:sz="0" w:space="0" w:color="auto"/>
            <w:bottom w:val="none" w:sz="0" w:space="0" w:color="auto"/>
            <w:right w:val="none" w:sz="0" w:space="0" w:color="auto"/>
          </w:divBdr>
        </w:div>
      </w:divsChild>
    </w:div>
    <w:div w:id="337776038">
      <w:bodyDiv w:val="1"/>
      <w:marLeft w:val="0"/>
      <w:marRight w:val="0"/>
      <w:marTop w:val="0"/>
      <w:marBottom w:val="0"/>
      <w:divBdr>
        <w:top w:val="none" w:sz="0" w:space="0" w:color="auto"/>
        <w:left w:val="none" w:sz="0" w:space="0" w:color="auto"/>
        <w:bottom w:val="none" w:sz="0" w:space="0" w:color="auto"/>
        <w:right w:val="none" w:sz="0" w:space="0" w:color="auto"/>
      </w:divBdr>
    </w:div>
    <w:div w:id="346752626">
      <w:bodyDiv w:val="1"/>
      <w:marLeft w:val="0"/>
      <w:marRight w:val="0"/>
      <w:marTop w:val="0"/>
      <w:marBottom w:val="0"/>
      <w:divBdr>
        <w:top w:val="none" w:sz="0" w:space="0" w:color="auto"/>
        <w:left w:val="none" w:sz="0" w:space="0" w:color="auto"/>
        <w:bottom w:val="none" w:sz="0" w:space="0" w:color="auto"/>
        <w:right w:val="none" w:sz="0" w:space="0" w:color="auto"/>
      </w:divBdr>
    </w:div>
    <w:div w:id="409624655">
      <w:bodyDiv w:val="1"/>
      <w:marLeft w:val="0"/>
      <w:marRight w:val="0"/>
      <w:marTop w:val="0"/>
      <w:marBottom w:val="0"/>
      <w:divBdr>
        <w:top w:val="none" w:sz="0" w:space="0" w:color="auto"/>
        <w:left w:val="none" w:sz="0" w:space="0" w:color="auto"/>
        <w:bottom w:val="none" w:sz="0" w:space="0" w:color="auto"/>
        <w:right w:val="none" w:sz="0" w:space="0" w:color="auto"/>
      </w:divBdr>
    </w:div>
    <w:div w:id="471556780">
      <w:bodyDiv w:val="1"/>
      <w:marLeft w:val="0"/>
      <w:marRight w:val="0"/>
      <w:marTop w:val="0"/>
      <w:marBottom w:val="0"/>
      <w:divBdr>
        <w:top w:val="none" w:sz="0" w:space="0" w:color="auto"/>
        <w:left w:val="none" w:sz="0" w:space="0" w:color="auto"/>
        <w:bottom w:val="none" w:sz="0" w:space="0" w:color="auto"/>
        <w:right w:val="none" w:sz="0" w:space="0" w:color="auto"/>
      </w:divBdr>
    </w:div>
    <w:div w:id="694770082">
      <w:bodyDiv w:val="1"/>
      <w:marLeft w:val="0"/>
      <w:marRight w:val="0"/>
      <w:marTop w:val="0"/>
      <w:marBottom w:val="0"/>
      <w:divBdr>
        <w:top w:val="none" w:sz="0" w:space="0" w:color="auto"/>
        <w:left w:val="none" w:sz="0" w:space="0" w:color="auto"/>
        <w:bottom w:val="none" w:sz="0" w:space="0" w:color="auto"/>
        <w:right w:val="none" w:sz="0" w:space="0" w:color="auto"/>
      </w:divBdr>
    </w:div>
    <w:div w:id="753361225">
      <w:bodyDiv w:val="1"/>
      <w:marLeft w:val="0"/>
      <w:marRight w:val="0"/>
      <w:marTop w:val="0"/>
      <w:marBottom w:val="0"/>
      <w:divBdr>
        <w:top w:val="none" w:sz="0" w:space="0" w:color="auto"/>
        <w:left w:val="none" w:sz="0" w:space="0" w:color="auto"/>
        <w:bottom w:val="none" w:sz="0" w:space="0" w:color="auto"/>
        <w:right w:val="none" w:sz="0" w:space="0" w:color="auto"/>
      </w:divBdr>
    </w:div>
    <w:div w:id="867984034">
      <w:bodyDiv w:val="1"/>
      <w:marLeft w:val="0"/>
      <w:marRight w:val="0"/>
      <w:marTop w:val="0"/>
      <w:marBottom w:val="0"/>
      <w:divBdr>
        <w:top w:val="none" w:sz="0" w:space="0" w:color="auto"/>
        <w:left w:val="none" w:sz="0" w:space="0" w:color="auto"/>
        <w:bottom w:val="none" w:sz="0" w:space="0" w:color="auto"/>
        <w:right w:val="none" w:sz="0" w:space="0" w:color="auto"/>
      </w:divBdr>
    </w:div>
    <w:div w:id="917011828">
      <w:bodyDiv w:val="1"/>
      <w:marLeft w:val="0"/>
      <w:marRight w:val="0"/>
      <w:marTop w:val="0"/>
      <w:marBottom w:val="0"/>
      <w:divBdr>
        <w:top w:val="none" w:sz="0" w:space="0" w:color="auto"/>
        <w:left w:val="none" w:sz="0" w:space="0" w:color="auto"/>
        <w:bottom w:val="none" w:sz="0" w:space="0" w:color="auto"/>
        <w:right w:val="none" w:sz="0" w:space="0" w:color="auto"/>
      </w:divBdr>
    </w:div>
    <w:div w:id="1078751792">
      <w:bodyDiv w:val="1"/>
      <w:marLeft w:val="0"/>
      <w:marRight w:val="0"/>
      <w:marTop w:val="0"/>
      <w:marBottom w:val="0"/>
      <w:divBdr>
        <w:top w:val="none" w:sz="0" w:space="0" w:color="auto"/>
        <w:left w:val="none" w:sz="0" w:space="0" w:color="auto"/>
        <w:bottom w:val="none" w:sz="0" w:space="0" w:color="auto"/>
        <w:right w:val="none" w:sz="0" w:space="0" w:color="auto"/>
      </w:divBdr>
    </w:div>
    <w:div w:id="1252816763">
      <w:bodyDiv w:val="1"/>
      <w:marLeft w:val="0"/>
      <w:marRight w:val="0"/>
      <w:marTop w:val="0"/>
      <w:marBottom w:val="0"/>
      <w:divBdr>
        <w:top w:val="none" w:sz="0" w:space="0" w:color="auto"/>
        <w:left w:val="none" w:sz="0" w:space="0" w:color="auto"/>
        <w:bottom w:val="none" w:sz="0" w:space="0" w:color="auto"/>
        <w:right w:val="none" w:sz="0" w:space="0" w:color="auto"/>
      </w:divBdr>
    </w:div>
    <w:div w:id="1353190277">
      <w:bodyDiv w:val="1"/>
      <w:marLeft w:val="0"/>
      <w:marRight w:val="0"/>
      <w:marTop w:val="0"/>
      <w:marBottom w:val="0"/>
      <w:divBdr>
        <w:top w:val="none" w:sz="0" w:space="0" w:color="auto"/>
        <w:left w:val="none" w:sz="0" w:space="0" w:color="auto"/>
        <w:bottom w:val="none" w:sz="0" w:space="0" w:color="auto"/>
        <w:right w:val="none" w:sz="0" w:space="0" w:color="auto"/>
      </w:divBdr>
    </w:div>
    <w:div w:id="1444618715">
      <w:bodyDiv w:val="1"/>
      <w:marLeft w:val="0"/>
      <w:marRight w:val="0"/>
      <w:marTop w:val="0"/>
      <w:marBottom w:val="0"/>
      <w:divBdr>
        <w:top w:val="none" w:sz="0" w:space="0" w:color="auto"/>
        <w:left w:val="none" w:sz="0" w:space="0" w:color="auto"/>
        <w:bottom w:val="none" w:sz="0" w:space="0" w:color="auto"/>
        <w:right w:val="none" w:sz="0" w:space="0" w:color="auto"/>
      </w:divBdr>
    </w:div>
    <w:div w:id="1519390577">
      <w:bodyDiv w:val="1"/>
      <w:marLeft w:val="0"/>
      <w:marRight w:val="0"/>
      <w:marTop w:val="0"/>
      <w:marBottom w:val="0"/>
      <w:divBdr>
        <w:top w:val="none" w:sz="0" w:space="0" w:color="auto"/>
        <w:left w:val="none" w:sz="0" w:space="0" w:color="auto"/>
        <w:bottom w:val="none" w:sz="0" w:space="0" w:color="auto"/>
        <w:right w:val="none" w:sz="0" w:space="0" w:color="auto"/>
      </w:divBdr>
    </w:div>
    <w:div w:id="1592160412">
      <w:bodyDiv w:val="1"/>
      <w:marLeft w:val="0"/>
      <w:marRight w:val="0"/>
      <w:marTop w:val="0"/>
      <w:marBottom w:val="0"/>
      <w:divBdr>
        <w:top w:val="none" w:sz="0" w:space="0" w:color="auto"/>
        <w:left w:val="none" w:sz="0" w:space="0" w:color="auto"/>
        <w:bottom w:val="none" w:sz="0" w:space="0" w:color="auto"/>
        <w:right w:val="none" w:sz="0" w:space="0" w:color="auto"/>
      </w:divBdr>
    </w:div>
    <w:div w:id="1704818165">
      <w:bodyDiv w:val="1"/>
      <w:marLeft w:val="0"/>
      <w:marRight w:val="0"/>
      <w:marTop w:val="0"/>
      <w:marBottom w:val="0"/>
      <w:divBdr>
        <w:top w:val="none" w:sz="0" w:space="0" w:color="auto"/>
        <w:left w:val="none" w:sz="0" w:space="0" w:color="auto"/>
        <w:bottom w:val="none" w:sz="0" w:space="0" w:color="auto"/>
        <w:right w:val="none" w:sz="0" w:space="0" w:color="auto"/>
      </w:divBdr>
    </w:div>
    <w:div w:id="1786265843">
      <w:bodyDiv w:val="1"/>
      <w:marLeft w:val="0"/>
      <w:marRight w:val="0"/>
      <w:marTop w:val="0"/>
      <w:marBottom w:val="0"/>
      <w:divBdr>
        <w:top w:val="none" w:sz="0" w:space="0" w:color="auto"/>
        <w:left w:val="none" w:sz="0" w:space="0" w:color="auto"/>
        <w:bottom w:val="none" w:sz="0" w:space="0" w:color="auto"/>
        <w:right w:val="none" w:sz="0" w:space="0" w:color="auto"/>
      </w:divBdr>
    </w:div>
    <w:div w:id="1792245440">
      <w:bodyDiv w:val="1"/>
      <w:marLeft w:val="0"/>
      <w:marRight w:val="0"/>
      <w:marTop w:val="0"/>
      <w:marBottom w:val="0"/>
      <w:divBdr>
        <w:top w:val="none" w:sz="0" w:space="0" w:color="auto"/>
        <w:left w:val="none" w:sz="0" w:space="0" w:color="auto"/>
        <w:bottom w:val="none" w:sz="0" w:space="0" w:color="auto"/>
        <w:right w:val="none" w:sz="0" w:space="0" w:color="auto"/>
      </w:divBdr>
    </w:div>
    <w:div w:id="2033418030">
      <w:bodyDiv w:val="1"/>
      <w:marLeft w:val="0"/>
      <w:marRight w:val="0"/>
      <w:marTop w:val="0"/>
      <w:marBottom w:val="0"/>
      <w:divBdr>
        <w:top w:val="none" w:sz="0" w:space="0" w:color="auto"/>
        <w:left w:val="none" w:sz="0" w:space="0" w:color="auto"/>
        <w:bottom w:val="none" w:sz="0" w:space="0" w:color="auto"/>
        <w:right w:val="none" w:sz="0" w:space="0" w:color="auto"/>
      </w:divBdr>
    </w:div>
    <w:div w:id="2042313623">
      <w:bodyDiv w:val="1"/>
      <w:marLeft w:val="0"/>
      <w:marRight w:val="0"/>
      <w:marTop w:val="0"/>
      <w:marBottom w:val="0"/>
      <w:divBdr>
        <w:top w:val="none" w:sz="0" w:space="0" w:color="auto"/>
        <w:left w:val="none" w:sz="0" w:space="0" w:color="auto"/>
        <w:bottom w:val="none" w:sz="0" w:space="0" w:color="auto"/>
        <w:right w:val="none" w:sz="0" w:space="0" w:color="auto"/>
      </w:divBdr>
    </w:div>
    <w:div w:id="208761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isanofindia.com/latest-news/pantnagar-kisan-mela-2022-highlights/140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ublication/378129610_Entrepreneurial_Marketing_Behavior_of_Agripreneurs_Challenges_and_Opportunities" TargetMode="External"/><Relationship Id="rId5" Type="http://schemas.openxmlformats.org/officeDocument/2006/relationships/hyperlink" Target="https://www.gbpuat.ac.in/mela/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9</Pages>
  <Words>3211</Words>
  <Characters>18308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dcterms:created xsi:type="dcterms:W3CDTF">2025-04-07T07:18:00Z</dcterms:created>
  <dcterms:modified xsi:type="dcterms:W3CDTF">2025-05-03T17:45:00Z</dcterms:modified>
</cp:coreProperties>
</file>