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04AA4" w14:textId="1EB3B9FF" w:rsidR="005C1016" w:rsidRDefault="007A7DBC" w:rsidP="007A7DBC">
      <w:pPr>
        <w:rPr>
          <w:rFonts w:ascii="Times New Roman" w:hAnsi="Times New Roman" w:cs="Times New Roman"/>
          <w:sz w:val="24"/>
          <w:szCs w:val="24"/>
        </w:rPr>
      </w:pPr>
      <w:r w:rsidRPr="007A7DBC">
        <w:rPr>
          <w:rFonts w:ascii="Times New Roman" w:hAnsi="Times New Roman" w:cs="Times New Roman"/>
          <w:b/>
          <w:bCs/>
          <w:sz w:val="24"/>
          <w:szCs w:val="24"/>
        </w:rPr>
        <w:t>Title</w:t>
      </w:r>
      <w:r w:rsidRPr="007A7DBC">
        <w:rPr>
          <w:rFonts w:ascii="Times New Roman" w:hAnsi="Times New Roman" w:cs="Times New Roman"/>
          <w:sz w:val="24"/>
          <w:szCs w:val="24"/>
        </w:rPr>
        <w:t>: Effective Utilization of Gypsum-Enriched Water Hyacinth (</w:t>
      </w:r>
      <w:r w:rsidRPr="007A7DBC">
        <w:rPr>
          <w:rFonts w:ascii="Times New Roman" w:hAnsi="Times New Roman" w:cs="Times New Roman"/>
          <w:i/>
          <w:iCs/>
          <w:sz w:val="24"/>
          <w:szCs w:val="24"/>
        </w:rPr>
        <w:t>Pontederia crassipes Mart.</w:t>
      </w:r>
      <w:r w:rsidRPr="007A7DBC">
        <w:rPr>
          <w:rFonts w:ascii="Times New Roman" w:hAnsi="Times New Roman" w:cs="Times New Roman"/>
          <w:sz w:val="24"/>
          <w:szCs w:val="24"/>
        </w:rPr>
        <w:t>) Chunks as Green Manure for Groundnut Fields</w:t>
      </w:r>
    </w:p>
    <w:p w14:paraId="2EA99ED3" w14:textId="359D6A58" w:rsidR="007A7DBC" w:rsidRPr="007A7DBC" w:rsidRDefault="007A7DBC" w:rsidP="000D4C8B">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Abstract</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w:t>
      </w:r>
      <w:r w:rsidRPr="007A7DBC">
        <w:rPr>
          <w:rFonts w:ascii="Times New Roman" w:eastAsia="Calibri" w:hAnsi="Times New Roman" w:cs="Times New Roman"/>
          <w:i/>
          <w:iCs/>
          <w:kern w:val="2"/>
          <w:sz w:val="24"/>
          <w:szCs w:val="24"/>
          <w:lang w:val="en-US"/>
        </w:rPr>
        <w:t>Pontederia crassipes</w:t>
      </w:r>
      <w:r w:rsidRPr="007A7DBC">
        <w:rPr>
          <w:rFonts w:ascii="Times New Roman" w:eastAsia="Calibri" w:hAnsi="Times New Roman" w:cs="Times New Roman"/>
          <w:kern w:val="2"/>
          <w:sz w:val="24"/>
          <w:szCs w:val="24"/>
          <w:lang w:val="en-US"/>
        </w:rPr>
        <w:t xml:space="preserve"> Mart. 1843) is an invasive weed species that poses a significant threat to aquatic ecosystems due to eutrophication caused by natural or anthropogenic effects. The cost of controlling these plants is high. Despite this challenge, water hyacinth offers beneficial and economic advantages, making it a valuable resource for recovery. Due to its invasive nature, water hyacinth causes ecological, social, and economic problems in tropical and subtropical areas. It can be controlled by lowering water levels (drawdown) to "strand" and desiccate the plants on exposed shorelines; however, the time required to effectively dry large mats of the plant can be long. Additionally, drawdowns and droughts trigger seed germination, leading to rapid re-establishment water hyacinth when water levels rise. Countries like India, China, Japan, and Vietnam have addressed the problem by utilizing the beneficial aspects of water hyacinth, thus avoiding the high costs of controlling it. This paper discusses one of the beneficial uses of water hyacinth: its application as green manure enriched with gypsum for groundnut fields (Alfisols) in tropical regions. Being an organic source, water hyacinth builds up soil organic matter and enriches the soil's physical, chemical, and biological properties. This approach demonstrates a significant increase in the agronomic growth parameters of groundnut plants.</w:t>
      </w:r>
    </w:p>
    <w:p w14:paraId="52C4FB20" w14:textId="3015B712" w:rsidR="007A7DBC" w:rsidRPr="007A7DBC" w:rsidRDefault="007A7DBC" w:rsidP="000D4C8B">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Keywords</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eutrophication, groundnut, organic manure, and nutrient recycling</w:t>
      </w:r>
    </w:p>
    <w:p w14:paraId="63F845F1" w14:textId="4E471280" w:rsidR="008C3CF2" w:rsidRDefault="007A7DBC" w:rsidP="000D4C8B">
      <w:pPr>
        <w:spacing w:after="160" w:line="360" w:lineRule="auto"/>
        <w:rPr>
          <w:rFonts w:ascii="Times New Roman" w:eastAsia="Calibri" w:hAnsi="Times New Roman" w:cs="Times New Roman"/>
          <w:kern w:val="2"/>
          <w:sz w:val="24"/>
          <w:szCs w:val="24"/>
        </w:rPr>
      </w:pPr>
      <w:r w:rsidRPr="007A7DBC">
        <w:rPr>
          <w:rFonts w:ascii="Times New Roman" w:eastAsia="Calibri" w:hAnsi="Times New Roman" w:cs="Times New Roman"/>
          <w:b/>
          <w:bCs/>
          <w:kern w:val="2"/>
          <w:sz w:val="24"/>
          <w:szCs w:val="24"/>
          <w:lang w:val="en-US"/>
        </w:rPr>
        <w:t>Introduction</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i/>
          <w:iCs/>
          <w:kern w:val="2"/>
          <w:sz w:val="24"/>
          <w:szCs w:val="24"/>
        </w:rPr>
        <w:t>Pontederia crassipes</w:t>
      </w:r>
      <w:r w:rsidRPr="007A7DBC">
        <w:rPr>
          <w:rFonts w:ascii="Times New Roman" w:eastAsia="Calibri" w:hAnsi="Times New Roman" w:cs="Times New Roman"/>
          <w:kern w:val="2"/>
          <w:sz w:val="24"/>
          <w:szCs w:val="24"/>
        </w:rPr>
        <w:t xml:space="preserve">, formerly known as </w:t>
      </w:r>
      <w:r w:rsidRPr="007A7DBC">
        <w:rPr>
          <w:rFonts w:ascii="Times New Roman" w:eastAsia="Calibri" w:hAnsi="Times New Roman" w:cs="Times New Roman"/>
          <w:i/>
          <w:iCs/>
          <w:kern w:val="2"/>
          <w:sz w:val="24"/>
          <w:szCs w:val="24"/>
        </w:rPr>
        <w:t>Eichhornia crassipes</w:t>
      </w:r>
      <w:r w:rsidRPr="007A7DBC">
        <w:rPr>
          <w:rFonts w:ascii="Times New Roman" w:eastAsia="Calibri" w:hAnsi="Times New Roman" w:cs="Times New Roman"/>
          <w:kern w:val="2"/>
          <w:sz w:val="24"/>
          <w:szCs w:val="24"/>
        </w:rPr>
        <w:t xml:space="preserve"> (Mart.) Solms, was introduced as an ornamental crop from South America to the botanical gardens in Bengal by 1896, during the British colonial rule (Biswas &amp; Calder, 1954). Commonly referred to as Water Hyacinth, it belongs to the Pontederiaceae family and was once part of the polyphyletic genus Pontederia, named after the Italian botanist and botany professor Giulio Pontedera. This free-floating plant has become one of the world's most notorious aquatic weeds, causing significant problems across tropical and subtropical continents. Water Hyacinth poses various challenges; its dense growth interferes with navigation, creating barriers that impede the movement of boats and waterways. It exhibits an annual growth pattern in temperate regions and persists as a perennial weed in tropical and subtropical climates. Propagation primarily occurs vegetatively through slender horizontal runners known as stolons. Despite the considerable costs associated with its control, Water Hyacinth offers numerous economic benefits. It can be utilized as green manure, compost, feed for both ruminants and non-</w:t>
      </w:r>
      <w:r w:rsidRPr="007A7DBC">
        <w:rPr>
          <w:rFonts w:ascii="Times New Roman" w:eastAsia="Calibri" w:hAnsi="Times New Roman" w:cs="Times New Roman"/>
          <w:kern w:val="2"/>
          <w:sz w:val="24"/>
          <w:szCs w:val="24"/>
        </w:rPr>
        <w:lastRenderedPageBreak/>
        <w:t xml:space="preserve">ruminants, fish feed, and even as a phytoremediator to mitigate heavy metal contamination. Notably, Water Hyacinth has the ability to purify wastewater by absorbing dissolved nitrogen, phosphorus, and undesirable minerals, including heavy metals. </w:t>
      </w:r>
    </w:p>
    <w:p w14:paraId="4033F16D" w14:textId="18B5F391" w:rsidR="007A7DBC" w:rsidRPr="007A7DBC" w:rsidRDefault="008C3CF2" w:rsidP="000D4C8B">
      <w:pPr>
        <w:spacing w:after="160" w:line="360" w:lineRule="auto"/>
        <w:rPr>
          <w:rFonts w:ascii="Times New Roman" w:eastAsia="Calibri" w:hAnsi="Times New Roman" w:cs="Times New Roman"/>
          <w:b/>
          <w:bCs/>
          <w:kern w:val="2"/>
          <w:sz w:val="24"/>
          <w:szCs w:val="24"/>
          <w:lang w:val="en-US"/>
        </w:rPr>
      </w:pPr>
      <w:r w:rsidRPr="008C3CF2">
        <w:rPr>
          <w:rFonts w:ascii="Times New Roman" w:eastAsia="Calibri" w:hAnsi="Times New Roman" w:cs="Times New Roman"/>
          <w:b/>
          <w:bCs/>
          <w:kern w:val="2"/>
          <w:sz w:val="24"/>
          <w:szCs w:val="24"/>
        </w:rPr>
        <w:t>Materials and Methods:</w:t>
      </w:r>
      <w:r>
        <w:rPr>
          <w:rFonts w:ascii="Times New Roman" w:eastAsia="Calibri" w:hAnsi="Times New Roman" w:cs="Times New Roman"/>
          <w:kern w:val="2"/>
          <w:sz w:val="24"/>
          <w:szCs w:val="24"/>
        </w:rPr>
        <w:t xml:space="preserve"> </w:t>
      </w:r>
      <w:r w:rsidR="007A7DBC" w:rsidRPr="007A7DBC">
        <w:rPr>
          <w:rFonts w:ascii="Times New Roman" w:eastAsia="Calibri" w:hAnsi="Times New Roman" w:cs="Times New Roman"/>
          <w:kern w:val="2"/>
          <w:sz w:val="24"/>
          <w:szCs w:val="24"/>
        </w:rPr>
        <w:t xml:space="preserve">In this study, Water Hyacinth is utilized as green manure and fortified with gypsum to enhance its efficacy. The research was conducted at the Agriculture College and Research Institute, Vazhavachanur, Tiruvannamalai (12.0728°N, 78.9891°E), situated in a tropical region which is </w:t>
      </w:r>
      <w:r w:rsidR="007A7DBC" w:rsidRPr="007A7DBC">
        <w:rPr>
          <w:rFonts w:ascii="Times New Roman" w:eastAsia="Calibri" w:hAnsi="Times New Roman" w:cs="Times New Roman"/>
          <w:kern w:val="2"/>
          <w:sz w:val="24"/>
          <w:szCs w:val="24"/>
          <w:lang w:val="en-US"/>
        </w:rPr>
        <w:t>characterized by Alfisols as the predominant soil class</w:t>
      </w:r>
      <w:r w:rsidR="007A7DBC" w:rsidRPr="007A7DBC">
        <w:rPr>
          <w:rFonts w:ascii="Times New Roman" w:eastAsia="Calibri" w:hAnsi="Times New Roman" w:cs="Times New Roman"/>
          <w:kern w:val="2"/>
          <w:sz w:val="24"/>
          <w:szCs w:val="24"/>
        </w:rPr>
        <w:t xml:space="preserve">. Groundnut (VRI 10) was chosen as the target crop due to its popularity among the local farmers. </w:t>
      </w:r>
      <w:r w:rsidR="007A7DBC" w:rsidRPr="007A7DBC">
        <w:rPr>
          <w:rFonts w:ascii="Times New Roman" w:eastAsia="Calibri" w:hAnsi="Times New Roman" w:cs="Times New Roman"/>
          <w:sz w:val="24"/>
          <w:szCs w:val="24"/>
          <w:lang w:val="en-US"/>
        </w:rPr>
        <w:t xml:space="preserve">As we know that Water Hyacinth is invasive aquatic weed which causing damage to water bodies and to the aquatic ecosystem. In the Moto of waste to worth and in order to protect our environment Water Hyacinth was collected from Avaniyapuram pond near Vellakal, Madurai. The collected plants were shade dried for 4-5 days, fresh Water Hyacinth contains 90% moisture and about 15-20% solid materials. After fifth day plant parts are chopped into small pieces to increase the surface area. </w:t>
      </w:r>
      <w:r w:rsidR="007A7DBC" w:rsidRPr="007A7DBC">
        <w:rPr>
          <w:rFonts w:ascii="Times New Roman" w:eastAsia="Calibri" w:hAnsi="Times New Roman" w:cs="Times New Roman"/>
          <w:kern w:val="2"/>
          <w:sz w:val="24"/>
          <w:szCs w:val="24"/>
        </w:rPr>
        <w:t>Water Hyacinth possesses inherent nutritional value, with relatively high levels of potassium (K% 2.68-3.45) compared to other nutrients. Additionally, its incorporation into the soil enhances soil structure and water holding capacity, making it a promising organic manure to be utilized in sustainable agriculture. This research was conducted to evaluate the utilization of Water Hyacinth as a green manure and its enrichment with gypsum for improved agricultural outcomes, specifically focusing on conventional groundnut cultivation in Tamil Nadu.</w:t>
      </w:r>
    </w:p>
    <w:p w14:paraId="23C1B5C5" w14:textId="2250095B"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Biology</w:t>
      </w:r>
      <w:r w:rsidR="000D4C8B">
        <w:rPr>
          <w:rFonts w:ascii="Times New Roman" w:eastAsia="Calibri" w:hAnsi="Times New Roman" w:cs="Times New Roman"/>
          <w:b/>
          <w:bCs/>
          <w:kern w:val="2"/>
          <w:sz w:val="24"/>
          <w:szCs w:val="24"/>
          <w:lang w:val="en-US"/>
        </w:rPr>
        <w:t>:</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tblGrid>
      <w:tr w:rsidR="007A7DBC" w:rsidRPr="007A7DBC" w14:paraId="4EF587BE" w14:textId="77777777" w:rsidTr="0035688E">
        <w:trPr>
          <w:trHeight w:val="576"/>
        </w:trPr>
        <w:tc>
          <w:tcPr>
            <w:tcW w:w="2410" w:type="dxa"/>
            <w:shd w:val="clear" w:color="auto" w:fill="auto"/>
            <w:hideMark/>
          </w:tcPr>
          <w:p w14:paraId="596711DE"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Rank</w:t>
            </w:r>
          </w:p>
        </w:tc>
        <w:tc>
          <w:tcPr>
            <w:tcW w:w="2977" w:type="dxa"/>
            <w:shd w:val="clear" w:color="auto" w:fill="auto"/>
            <w:hideMark/>
          </w:tcPr>
          <w:p w14:paraId="6225608A"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Classification</w:t>
            </w:r>
          </w:p>
        </w:tc>
      </w:tr>
      <w:tr w:rsidR="007A7DBC" w:rsidRPr="007A7DBC" w14:paraId="6ED2A16F" w14:textId="77777777" w:rsidTr="0035688E">
        <w:trPr>
          <w:trHeight w:val="288"/>
        </w:trPr>
        <w:tc>
          <w:tcPr>
            <w:tcW w:w="2410" w:type="dxa"/>
            <w:shd w:val="clear" w:color="auto" w:fill="auto"/>
            <w:hideMark/>
          </w:tcPr>
          <w:p w14:paraId="3C65564C"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Kingdom</w:t>
            </w:r>
          </w:p>
        </w:tc>
        <w:tc>
          <w:tcPr>
            <w:tcW w:w="2977" w:type="dxa"/>
            <w:shd w:val="clear" w:color="auto" w:fill="auto"/>
            <w:hideMark/>
          </w:tcPr>
          <w:p w14:paraId="16AC6606"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Plantae</w:t>
            </w:r>
          </w:p>
        </w:tc>
      </w:tr>
      <w:tr w:rsidR="007A7DBC" w:rsidRPr="007A7DBC" w14:paraId="1102A0ED" w14:textId="77777777" w:rsidTr="0035688E">
        <w:trPr>
          <w:trHeight w:val="576"/>
        </w:trPr>
        <w:tc>
          <w:tcPr>
            <w:tcW w:w="2410" w:type="dxa"/>
            <w:shd w:val="clear" w:color="auto" w:fill="auto"/>
            <w:hideMark/>
          </w:tcPr>
          <w:p w14:paraId="21881470"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Division</w:t>
            </w:r>
          </w:p>
        </w:tc>
        <w:tc>
          <w:tcPr>
            <w:tcW w:w="2977" w:type="dxa"/>
            <w:shd w:val="clear" w:color="auto" w:fill="auto"/>
            <w:hideMark/>
          </w:tcPr>
          <w:p w14:paraId="7C84E2E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Spermatophyta</w:t>
            </w:r>
          </w:p>
        </w:tc>
      </w:tr>
      <w:tr w:rsidR="007A7DBC" w:rsidRPr="007A7DBC" w14:paraId="1C5945FC" w14:textId="77777777" w:rsidTr="0035688E">
        <w:trPr>
          <w:trHeight w:val="576"/>
        </w:trPr>
        <w:tc>
          <w:tcPr>
            <w:tcW w:w="2410" w:type="dxa"/>
            <w:shd w:val="clear" w:color="auto" w:fill="auto"/>
            <w:hideMark/>
          </w:tcPr>
          <w:p w14:paraId="2CE45D45"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Subdivision</w:t>
            </w:r>
          </w:p>
        </w:tc>
        <w:tc>
          <w:tcPr>
            <w:tcW w:w="2977" w:type="dxa"/>
            <w:shd w:val="clear" w:color="auto" w:fill="auto"/>
            <w:hideMark/>
          </w:tcPr>
          <w:p w14:paraId="4FDAEA3F"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Angiospermae</w:t>
            </w:r>
          </w:p>
        </w:tc>
      </w:tr>
      <w:tr w:rsidR="007A7DBC" w:rsidRPr="007A7DBC" w14:paraId="7456D8FB" w14:textId="77777777" w:rsidTr="0035688E">
        <w:trPr>
          <w:trHeight w:val="576"/>
        </w:trPr>
        <w:tc>
          <w:tcPr>
            <w:tcW w:w="2410" w:type="dxa"/>
            <w:shd w:val="clear" w:color="auto" w:fill="auto"/>
            <w:hideMark/>
          </w:tcPr>
          <w:p w14:paraId="27DE98E2"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Class</w:t>
            </w:r>
          </w:p>
        </w:tc>
        <w:tc>
          <w:tcPr>
            <w:tcW w:w="2977" w:type="dxa"/>
            <w:shd w:val="clear" w:color="auto" w:fill="auto"/>
            <w:hideMark/>
          </w:tcPr>
          <w:p w14:paraId="219BE2C1"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Monocotyledonae</w:t>
            </w:r>
          </w:p>
        </w:tc>
      </w:tr>
      <w:tr w:rsidR="007A7DBC" w:rsidRPr="007A7DBC" w14:paraId="4E3BF861" w14:textId="77777777" w:rsidTr="0035688E">
        <w:trPr>
          <w:trHeight w:val="576"/>
        </w:trPr>
        <w:tc>
          <w:tcPr>
            <w:tcW w:w="2410" w:type="dxa"/>
            <w:shd w:val="clear" w:color="auto" w:fill="auto"/>
            <w:hideMark/>
          </w:tcPr>
          <w:p w14:paraId="42CF1157"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Order</w:t>
            </w:r>
          </w:p>
        </w:tc>
        <w:tc>
          <w:tcPr>
            <w:tcW w:w="2977" w:type="dxa"/>
            <w:shd w:val="clear" w:color="auto" w:fill="auto"/>
            <w:hideMark/>
          </w:tcPr>
          <w:p w14:paraId="1CD90FB3"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Commelinales</w:t>
            </w:r>
          </w:p>
        </w:tc>
      </w:tr>
      <w:tr w:rsidR="007A7DBC" w:rsidRPr="007A7DBC" w14:paraId="3820303B" w14:textId="77777777" w:rsidTr="0035688E">
        <w:trPr>
          <w:trHeight w:val="576"/>
        </w:trPr>
        <w:tc>
          <w:tcPr>
            <w:tcW w:w="2410" w:type="dxa"/>
            <w:shd w:val="clear" w:color="auto" w:fill="auto"/>
            <w:hideMark/>
          </w:tcPr>
          <w:p w14:paraId="6DB47D79"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Family</w:t>
            </w:r>
          </w:p>
        </w:tc>
        <w:tc>
          <w:tcPr>
            <w:tcW w:w="2977" w:type="dxa"/>
            <w:shd w:val="clear" w:color="auto" w:fill="auto"/>
            <w:hideMark/>
          </w:tcPr>
          <w:p w14:paraId="403E7BC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Pontederiaceae</w:t>
            </w:r>
          </w:p>
        </w:tc>
      </w:tr>
      <w:tr w:rsidR="007A7DBC" w:rsidRPr="007A7DBC" w14:paraId="46CD93EF" w14:textId="77777777" w:rsidTr="0035688E">
        <w:trPr>
          <w:trHeight w:val="576"/>
        </w:trPr>
        <w:tc>
          <w:tcPr>
            <w:tcW w:w="2410" w:type="dxa"/>
            <w:shd w:val="clear" w:color="auto" w:fill="auto"/>
            <w:hideMark/>
          </w:tcPr>
          <w:p w14:paraId="45E70938"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Genus</w:t>
            </w:r>
          </w:p>
        </w:tc>
        <w:tc>
          <w:tcPr>
            <w:tcW w:w="2977" w:type="dxa"/>
            <w:shd w:val="clear" w:color="auto" w:fill="auto"/>
            <w:hideMark/>
          </w:tcPr>
          <w:p w14:paraId="4B59959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Pontederia</w:t>
            </w:r>
          </w:p>
        </w:tc>
      </w:tr>
      <w:tr w:rsidR="007A7DBC" w:rsidRPr="007A7DBC" w14:paraId="6C1F45D7" w14:textId="77777777" w:rsidTr="0035688E">
        <w:trPr>
          <w:trHeight w:val="694"/>
        </w:trPr>
        <w:tc>
          <w:tcPr>
            <w:tcW w:w="2410" w:type="dxa"/>
            <w:shd w:val="clear" w:color="auto" w:fill="auto"/>
            <w:hideMark/>
          </w:tcPr>
          <w:p w14:paraId="57B100E1"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lastRenderedPageBreak/>
              <w:t>Species</w:t>
            </w:r>
          </w:p>
        </w:tc>
        <w:tc>
          <w:tcPr>
            <w:tcW w:w="2977" w:type="dxa"/>
            <w:shd w:val="clear" w:color="auto" w:fill="auto"/>
            <w:hideMark/>
          </w:tcPr>
          <w:p w14:paraId="3C7B9566"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i/>
                <w:iCs/>
                <w:kern w:val="2"/>
                <w:sz w:val="24"/>
                <w:szCs w:val="24"/>
                <w:lang w:val="en-US"/>
              </w:rPr>
              <w:t xml:space="preserve">P. crassipes </w:t>
            </w:r>
            <w:r w:rsidRPr="007A7DBC">
              <w:rPr>
                <w:rFonts w:ascii="Times New Roman" w:eastAsia="Calibri" w:hAnsi="Times New Roman" w:cs="Times New Roman"/>
                <w:kern w:val="2"/>
                <w:sz w:val="24"/>
                <w:szCs w:val="24"/>
                <w:lang w:val="en-US"/>
              </w:rPr>
              <w:t>(Mart.) 1843</w:t>
            </w:r>
          </w:p>
        </w:tc>
      </w:tr>
    </w:tbl>
    <w:p w14:paraId="06C73681" w14:textId="77777777" w:rsidR="007A7DBC" w:rsidRPr="007A7DBC" w:rsidRDefault="007A7DBC" w:rsidP="007A7DBC">
      <w:pPr>
        <w:spacing w:after="160" w:line="360" w:lineRule="auto"/>
        <w:ind w:firstLine="720"/>
        <w:rPr>
          <w:rFonts w:ascii="Times New Roman" w:eastAsia="Calibri" w:hAnsi="Times New Roman" w:cs="Times New Roman"/>
          <w:b/>
          <w:bCs/>
          <w:kern w:val="2"/>
          <w:sz w:val="24"/>
          <w:szCs w:val="24"/>
          <w:lang w:val="en-US"/>
        </w:rPr>
      </w:pPr>
    </w:p>
    <w:p w14:paraId="2382ADD5" w14:textId="77777777" w:rsidR="007A7DBC" w:rsidRPr="007A7DBC" w:rsidRDefault="007A7DBC" w:rsidP="007A7DBC">
      <w:pPr>
        <w:spacing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Pontederia, a perennial and fast-growing broad-leaved grass weed, proliferates abundantly in water bodies. It serves as a prime example of invasive and naturalized weeds, firmly establishing itself wherever it invades, such as in India. Pontederia exhibits rapid growth rates, producing approximately 100-150 tons of dry matter per hectare annually (equivalent to around 800 kg of dry matter per hectare per day) (Rao and Gupta, 1980). This growth rate surpasses even that of Napier grass (106), Eucalyptus (39-54), and lucerne (18-29). Each inflorescence of Pontederia bears around 20 flowers, with each flower capable of producing 3000-4000 seeds. These seeds sink to the bottom of water bodies and can remain viable for at least 20 years. Water Hyacinth possesses a unique type of parenchyma tissue known as aerenchyma. Aerenchyma is a spongy tissue that contains air spaces or channels, particularly in the stem of the hyacinth. This structure imparts buoyancy to the stem, enabling Water Hyacinth to float on water surface.</w:t>
      </w:r>
    </w:p>
    <w:p w14:paraId="67539C58" w14:textId="77777777" w:rsidR="007A7DBC" w:rsidRPr="007A7DBC" w:rsidRDefault="007A7DBC" w:rsidP="007A7DBC">
      <w:pPr>
        <w:spacing w:after="160" w:line="360" w:lineRule="auto"/>
        <w:jc w:val="center"/>
        <w:rPr>
          <w:rFonts w:ascii="Times New Roman" w:eastAsia="Calibri" w:hAnsi="Times New Roman" w:cs="Times New Roman"/>
          <w:kern w:val="2"/>
          <w:sz w:val="24"/>
          <w:szCs w:val="24"/>
        </w:rPr>
      </w:pPr>
      <w:r w:rsidRPr="007A7DBC">
        <w:rPr>
          <w:rFonts w:ascii="Times New Roman" w:eastAsia="Calibri" w:hAnsi="Times New Roman" w:cs="Times New Roman"/>
          <w:noProof/>
          <w:kern w:val="2"/>
          <w:sz w:val="24"/>
          <w:szCs w:val="24"/>
          <w:lang w:val="en-US"/>
        </w:rPr>
        <w:drawing>
          <wp:inline distT="0" distB="0" distL="0" distR="0" wp14:anchorId="5F69080F" wp14:editId="5B6701D0">
            <wp:extent cx="5445760" cy="2429510"/>
            <wp:effectExtent l="19050" t="0" r="254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45760" cy="2429510"/>
                    </a:xfrm>
                    <a:prstGeom prst="rect">
                      <a:avLst/>
                    </a:prstGeom>
                    <a:noFill/>
                    <a:ln w="9525">
                      <a:noFill/>
                      <a:miter lim="800000"/>
                      <a:headEnd/>
                      <a:tailEnd/>
                    </a:ln>
                  </pic:spPr>
                </pic:pic>
              </a:graphicData>
            </a:graphic>
          </wp:inline>
        </w:drawing>
      </w:r>
    </w:p>
    <w:p w14:paraId="0DA1BF41" w14:textId="77777777" w:rsidR="007A7DBC" w:rsidRPr="007A7DBC" w:rsidRDefault="007A7DBC" w:rsidP="007A7DBC">
      <w:pPr>
        <w:spacing w:after="160" w:line="360" w:lineRule="auto"/>
        <w:jc w:val="center"/>
        <w:rPr>
          <w:rFonts w:ascii="Times New Roman" w:eastAsia="Calibri" w:hAnsi="Times New Roman" w:cs="Times New Roman"/>
          <w:bCs/>
          <w:i/>
          <w:kern w:val="2"/>
          <w:sz w:val="24"/>
          <w:szCs w:val="24"/>
          <w:lang w:val="en-US"/>
        </w:rPr>
      </w:pPr>
      <w:r w:rsidRPr="007A7DBC">
        <w:rPr>
          <w:rFonts w:ascii="Times New Roman" w:eastAsia="Calibri" w:hAnsi="Times New Roman" w:cs="Times New Roman"/>
          <w:bCs/>
          <w:i/>
          <w:kern w:val="2"/>
          <w:sz w:val="24"/>
          <w:szCs w:val="24"/>
          <w:lang w:val="en-US"/>
        </w:rPr>
        <w:t>Figure 1: Water bodies invaded by Water Hyacinth</w:t>
      </w:r>
    </w:p>
    <w:p w14:paraId="1132C794"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Chemical Composition of Water Hyacinth</w:t>
      </w:r>
    </w:p>
    <w:p w14:paraId="641F3D9F" w14:textId="77777777" w:rsidR="007A7DBC" w:rsidRPr="007A7DBC" w:rsidRDefault="007A7DBC" w:rsidP="007A7DBC">
      <w:pPr>
        <w:spacing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Fresh Water Hyacinth typically contains about 90% water and 15-20% solid materials (Ndimele et al., 2011). Its nutrient composition includes nitrogen (N) at levels ranging from 1.70% to 2.15%, phosphorus (P) ranging from 0.38% to 0.56%, and potassium (K) ranging from 2.68% to 3.45%. The protein content on a dry basis is reported to be between 9.14% and </w:t>
      </w:r>
      <w:r w:rsidRPr="007A7DBC">
        <w:rPr>
          <w:rFonts w:ascii="Times New Roman" w:eastAsia="Calibri" w:hAnsi="Times New Roman" w:cs="Times New Roman"/>
          <w:kern w:val="2"/>
          <w:sz w:val="24"/>
          <w:szCs w:val="24"/>
        </w:rPr>
        <w:lastRenderedPageBreak/>
        <w:t>14.37%. Moreover, Water Hyacinth is recognized as a carrier of heavy metals such as iron, magnesium, and zinc, making it suitable for phytoremediation purposes (Ndimele, 2003).</w:t>
      </w:r>
    </w:p>
    <w:p w14:paraId="1D8BFA32"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Utilizing Water Hyacinth as a Green Manure</w:t>
      </w:r>
    </w:p>
    <w:p w14:paraId="1E0A0631" w14:textId="77777777" w:rsidR="007A7DBC" w:rsidRPr="007A7DBC" w:rsidRDefault="007A7DBC" w:rsidP="007A7DBC">
      <w:pPr>
        <w:spacing w:before="240" w:after="160" w:line="360" w:lineRule="auto"/>
        <w:rPr>
          <w:rFonts w:ascii="Calibri" w:eastAsia="Calibri" w:hAnsi="Calibri" w:cs="Times New Roman"/>
          <w:kern w:val="2"/>
          <w:lang w:val="en-US"/>
        </w:rPr>
      </w:pPr>
      <w:r w:rsidRPr="007A7DBC">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proliferates in water bodies due to eutrophication. It was collected from a eutrophied water body and subjected to shade drying. After drying, it was cut into small pieces, less than 3 cm in size, to increase the surface area and facilitate its effective utilization by crops. Various parts of water hyacinth were utilized for green manure, and it was applied to crops before sowing.</w:t>
      </w:r>
      <w:r w:rsidRPr="007A7DBC">
        <w:rPr>
          <w:rFonts w:ascii="Times New Roman" w:eastAsia="Calibri" w:hAnsi="Times New Roman" w:cs="Times New Roman"/>
          <w:kern w:val="2"/>
          <w:sz w:val="28"/>
          <w:szCs w:val="28"/>
          <w:lang w:val="en-US"/>
        </w:rPr>
        <w:t xml:space="preserve"> </w:t>
      </w:r>
      <w:r w:rsidRPr="007A7DBC">
        <w:rPr>
          <w:rFonts w:ascii="Times New Roman" w:eastAsia="Calibri" w:hAnsi="Times New Roman" w:cs="Times New Roman"/>
          <w:kern w:val="2"/>
          <w:sz w:val="24"/>
          <w:szCs w:val="24"/>
        </w:rPr>
        <w:t>Water Hyacinth serves as a rich source of nitrogen (N), phosphorus (P), potassium (K), and micronutrients, providing significant benefits to crops upon application. Its utilization has shown promising results, including increased soil microbial populations, and enhanced microbial activity. This, in turn, leads to the accumulation of soil organic matter and improved soil aggregation. During the decomposition process, Water Hyacinth releases gum-like materials, which aid in binding soil particles together.</w:t>
      </w:r>
    </w:p>
    <w:p w14:paraId="019C37DB" w14:textId="77777777" w:rsidR="007A7DBC" w:rsidRPr="007A7DBC" w:rsidRDefault="007A7DBC" w:rsidP="007A7DBC">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Studies have indicated that the application of Water Hyacinth results in improved agronomic characteristics of plants. Additionally, it enhances the soil's water holding capacity, with treated soil showing an increase from 8.21% to 10.16% compared to untreated soil (Khan and Sarwar, 2002). However, it must be noted that if Water Hyacinth contains higher lignin compounds, it might potentially reduce the potassium content by binding it.</w:t>
      </w:r>
    </w:p>
    <w:p w14:paraId="61178CEC" w14:textId="77777777" w:rsidR="007A7DBC" w:rsidRPr="007A7DBC" w:rsidRDefault="007A7DBC" w:rsidP="007A7DBC">
      <w:pPr>
        <w:spacing w:before="240" w:after="160" w:line="360" w:lineRule="auto"/>
        <w:ind w:firstLine="720"/>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19BD64A7" wp14:editId="11CB1737">
            <wp:extent cx="3712210" cy="1433195"/>
            <wp:effectExtent l="19050" t="0" r="254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12210" cy="1433195"/>
                    </a:xfrm>
                    <a:prstGeom prst="rect">
                      <a:avLst/>
                    </a:prstGeom>
                    <a:noFill/>
                    <a:ln w="9525">
                      <a:noFill/>
                      <a:miter lim="800000"/>
                      <a:headEnd/>
                      <a:tailEnd/>
                    </a:ln>
                  </pic:spPr>
                </pic:pic>
              </a:graphicData>
            </a:graphic>
          </wp:inline>
        </w:drawing>
      </w:r>
    </w:p>
    <w:p w14:paraId="5F8614B2" w14:textId="77777777" w:rsidR="007A7DBC" w:rsidRPr="007A7DBC" w:rsidRDefault="007A7DBC" w:rsidP="007A7DBC">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2</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Site of Collection, Avaniyapuram Pond, Vellakal, Madurai</w:t>
      </w:r>
    </w:p>
    <w:p w14:paraId="35D4E999" w14:textId="77777777" w:rsidR="007A7DBC" w:rsidRPr="007A7DBC" w:rsidRDefault="007A7DBC" w:rsidP="007A7DBC">
      <w:pPr>
        <w:spacing w:after="160" w:line="259" w:lineRule="auto"/>
        <w:jc w:val="center"/>
        <w:rPr>
          <w:rFonts w:ascii="Calibri" w:eastAsia="Calibri" w:hAnsi="Calibri" w:cs="Times New Roman"/>
          <w:kern w:val="2"/>
          <w:lang w:val="en-US"/>
        </w:rPr>
      </w:pPr>
      <w:r w:rsidRPr="007A7DBC">
        <w:rPr>
          <w:rFonts w:ascii="Calibri" w:eastAsia="Calibri" w:hAnsi="Calibri" w:cs="Times New Roman"/>
          <w:noProof/>
          <w:kern w:val="2"/>
          <w:lang w:val="en-US"/>
        </w:rPr>
        <w:lastRenderedPageBreak/>
        <w:drawing>
          <wp:inline distT="0" distB="0" distL="0" distR="0" wp14:anchorId="37464377" wp14:editId="1D9705B3">
            <wp:extent cx="1597025" cy="2688590"/>
            <wp:effectExtent l="571500" t="0" r="536575"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2" t="7288" r="854" b="10567"/>
                    <a:stretch>
                      <a:fillRect/>
                    </a:stretch>
                  </pic:blipFill>
                  <pic:spPr bwMode="auto">
                    <a:xfrm rot="-5400000">
                      <a:off x="0" y="0"/>
                      <a:ext cx="1597025" cy="2688590"/>
                    </a:xfrm>
                    <a:prstGeom prst="rect">
                      <a:avLst/>
                    </a:prstGeom>
                    <a:noFill/>
                    <a:ln w="9525">
                      <a:noFill/>
                      <a:miter lim="800000"/>
                      <a:headEnd/>
                      <a:tailEnd/>
                    </a:ln>
                  </pic:spPr>
                </pic:pic>
              </a:graphicData>
            </a:graphic>
          </wp:inline>
        </w:drawing>
      </w:r>
    </w:p>
    <w:p w14:paraId="441272DD" w14:textId="77777777" w:rsidR="007A7DBC" w:rsidRPr="007A7DBC" w:rsidRDefault="007A7DBC" w:rsidP="007A7DBC">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3</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Shade dried Water hyacinth</w:t>
      </w:r>
    </w:p>
    <w:p w14:paraId="12CD71CA" w14:textId="77777777" w:rsidR="007A7DBC" w:rsidRPr="007A7DBC" w:rsidRDefault="007A7DBC" w:rsidP="00EB6AA1">
      <w:pPr>
        <w:spacing w:before="240" w:after="160" w:line="360" w:lineRule="auto"/>
        <w:jc w:val="center"/>
        <w:rPr>
          <w:rFonts w:ascii="Times New Roman" w:eastAsia="Calibri" w:hAnsi="Times New Roman" w:cs="Times New Roman"/>
          <w:i/>
          <w:kern w:val="2"/>
          <w:sz w:val="24"/>
          <w:szCs w:val="24"/>
        </w:rPr>
      </w:pPr>
      <w:r w:rsidRPr="007A7DBC">
        <w:rPr>
          <w:rFonts w:ascii="Times New Roman" w:eastAsia="Calibri" w:hAnsi="Times New Roman" w:cs="Times New Roman"/>
          <w:i/>
          <w:noProof/>
          <w:kern w:val="2"/>
          <w:sz w:val="24"/>
          <w:szCs w:val="24"/>
          <w:lang w:val="en-US"/>
        </w:rPr>
        <w:drawing>
          <wp:inline distT="0" distB="0" distL="0" distR="0" wp14:anchorId="45C252DC" wp14:editId="4AF1898E">
            <wp:extent cx="2661285" cy="1678940"/>
            <wp:effectExtent l="19050" t="0" r="571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13583" t="6718" r="24860" b="-1021"/>
                    <a:stretch>
                      <a:fillRect/>
                    </a:stretch>
                  </pic:blipFill>
                  <pic:spPr bwMode="auto">
                    <a:xfrm>
                      <a:off x="0" y="0"/>
                      <a:ext cx="2661285" cy="1678940"/>
                    </a:xfrm>
                    <a:prstGeom prst="rect">
                      <a:avLst/>
                    </a:prstGeom>
                    <a:noFill/>
                    <a:ln w="9525">
                      <a:noFill/>
                      <a:miter lim="800000"/>
                      <a:headEnd/>
                      <a:tailEnd/>
                    </a:ln>
                  </pic:spPr>
                </pic:pic>
              </a:graphicData>
            </a:graphic>
          </wp:inline>
        </w:drawing>
      </w:r>
    </w:p>
    <w:p w14:paraId="3A86A0C1" w14:textId="62140408" w:rsidR="007A7DBC" w:rsidRPr="007A7DBC" w:rsidRDefault="007A7DBC" w:rsidP="000D4C8B">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4</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Cut pieces of Water Hyacinth</w:t>
      </w:r>
    </w:p>
    <w:p w14:paraId="59D1DEAF"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b/>
          <w:bCs/>
          <w:kern w:val="2"/>
          <w:sz w:val="24"/>
          <w:szCs w:val="24"/>
          <w:lang w:val="en-US"/>
        </w:rPr>
        <w:t>Enrichment with Gypsum (Fortification)</w:t>
      </w:r>
    </w:p>
    <w:p w14:paraId="6358BFDB" w14:textId="77777777" w:rsidR="007A7DBC" w:rsidRPr="007A7DBC" w:rsidRDefault="007A7DBC" w:rsidP="00F80CBB">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Shade-dried cut pieces (less than 3 cm) of Water Hyacinth are enriched with calcium sulfate (gypsum) at a 1:1 ratio. This enriched mixture is applied to the field before sowing and again during earthing up on the 45th day to enhance peg formation. Calcium is essential for strong shell formation and cell wall thickening (middle lamella), while sulfur is important for increasing the oil content of groundnuts. The porous nature of the small Water Hyacinth pieces helps retain the gypsum, facilitating its slow release to the plants and significantly increasing yield. This practice also enhances the soil's chelating capacity and cation exchange capacity, improving it from 22.95 to 23.78 at a depth of 0-30 cm (Khan and Sarwar, 2002; Abdalla and Elballah, 2015). Additionally, the total mineral nitrogen content before sowing the first main crop and even after harvesting was found to be twofold higher than the control (Khan and Sarwar, 2002).</w:t>
      </w:r>
    </w:p>
    <w:p w14:paraId="4B1EF5B2" w14:textId="174DD200" w:rsidR="007A7DBC" w:rsidRPr="007A7DBC" w:rsidRDefault="007A7DBC" w:rsidP="008C3CF2">
      <w:pPr>
        <w:spacing w:before="240" w:after="160" w:line="360" w:lineRule="auto"/>
        <w:ind w:firstLine="720"/>
        <w:rPr>
          <w:rFonts w:ascii="Times New Roman" w:eastAsia="Calibri" w:hAnsi="Times New Roman" w:cs="Times New Roman"/>
          <w:b/>
          <w:bCs/>
          <w:kern w:val="2"/>
          <w:sz w:val="24"/>
          <w:szCs w:val="24"/>
          <w:lang w:val="en-US"/>
        </w:rPr>
      </w:pPr>
      <w:r w:rsidRPr="007A7DBC">
        <w:rPr>
          <w:rFonts w:ascii="Times New Roman" w:eastAsia="Calibri" w:hAnsi="Times New Roman" w:cs="Times New Roman"/>
          <w:kern w:val="2"/>
          <w:sz w:val="24"/>
          <w:szCs w:val="24"/>
        </w:rPr>
        <w:lastRenderedPageBreak/>
        <w:t xml:space="preserve">Water Hyacinth wastes were collected from water bodies, shade-dried, and cut into small pieces. These pieces were then enriched with gypsum. The experiment was conducted using a Completely Randomized Design (CRD) across three trials. The treatments included: </w:t>
      </w:r>
      <w:r w:rsidRPr="007A7DBC">
        <w:rPr>
          <w:rFonts w:ascii="Times New Roman" w:eastAsia="Calibri" w:hAnsi="Times New Roman" w:cs="Times New Roman"/>
          <w:kern w:val="2"/>
          <w:sz w:val="24"/>
          <w:szCs w:val="24"/>
          <w:lang w:val="en-US"/>
        </w:rPr>
        <w:t>T1-Control, T2-Water hyacinth green manure and T3-Water hyacinth green manure enriched with gypsum</w:t>
      </w:r>
      <w:r w:rsidRPr="007A7DBC">
        <w:rPr>
          <w:rFonts w:ascii="Times New Roman" w:eastAsia="Calibri" w:hAnsi="Times New Roman" w:cs="Times New Roman"/>
          <w:kern w:val="2"/>
          <w:sz w:val="24"/>
          <w:szCs w:val="24"/>
        </w:rPr>
        <w:t xml:space="preserve">. Agronomic growth parameters of the crop were measured at 30, 60, and 90 days, as well as at the time of harvest. </w:t>
      </w:r>
    </w:p>
    <w:p w14:paraId="7DC49C1B" w14:textId="77777777" w:rsidR="007A7DBC" w:rsidRPr="007A7DBC" w:rsidRDefault="007A7DBC" w:rsidP="00F80CBB">
      <w:pPr>
        <w:spacing w:after="160" w:line="259" w:lineRule="auto"/>
        <w:jc w:val="left"/>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 xml:space="preserve">Table 1: </w:t>
      </w:r>
      <w:bookmarkStart w:id="0" w:name="_Hlk172836260"/>
      <w:r w:rsidRPr="007A7DBC">
        <w:rPr>
          <w:rFonts w:ascii="Times New Roman" w:eastAsia="Calibri" w:hAnsi="Times New Roman" w:cs="Times New Roman"/>
          <w:i/>
          <w:kern w:val="2"/>
          <w:sz w:val="24"/>
          <w:szCs w:val="24"/>
          <w:lang w:val="en-US"/>
        </w:rPr>
        <w:t>Effect on</w:t>
      </w:r>
      <w:bookmarkEnd w:id="0"/>
      <w:r w:rsidRPr="007A7DBC">
        <w:rPr>
          <w:rFonts w:ascii="Times New Roman" w:eastAsia="Calibri" w:hAnsi="Times New Roman" w:cs="Times New Roman"/>
          <w:i/>
          <w:kern w:val="2"/>
          <w:sz w:val="24"/>
          <w:szCs w:val="24"/>
          <w:lang w:val="en-US"/>
        </w:rPr>
        <w:t xml:space="preserve"> Plant Height and Width</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134"/>
        <w:gridCol w:w="1204"/>
        <w:gridCol w:w="1205"/>
        <w:gridCol w:w="1205"/>
        <w:gridCol w:w="1205"/>
      </w:tblGrid>
      <w:tr w:rsidR="007A7DBC" w:rsidRPr="007A7DBC" w14:paraId="410FEE2B" w14:textId="77777777" w:rsidTr="0035688E">
        <w:trPr>
          <w:trHeight w:val="495"/>
        </w:trPr>
        <w:tc>
          <w:tcPr>
            <w:tcW w:w="9322" w:type="dxa"/>
            <w:gridSpan w:val="7"/>
          </w:tcPr>
          <w:p w14:paraId="7AA5ADF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bookmarkStart w:id="1" w:name="_Hlk172836190"/>
            <w:r w:rsidRPr="007A7DBC">
              <w:rPr>
                <w:rFonts w:ascii="Times New Roman" w:eastAsia="Calibri" w:hAnsi="Times New Roman" w:cs="Times New Roman"/>
                <w:b/>
                <w:bCs/>
                <w:kern w:val="2"/>
                <w:sz w:val="24"/>
                <w:szCs w:val="24"/>
                <w:lang w:val="en-US"/>
              </w:rPr>
              <w:t>PLANT HEIGHT AND WIDTH</w:t>
            </w:r>
            <w:bookmarkEnd w:id="1"/>
          </w:p>
        </w:tc>
      </w:tr>
      <w:tr w:rsidR="007A7DBC" w:rsidRPr="007A7DBC" w14:paraId="2B3DF61E" w14:textId="77777777" w:rsidTr="0035688E">
        <w:trPr>
          <w:trHeight w:val="495"/>
        </w:trPr>
        <w:tc>
          <w:tcPr>
            <w:tcW w:w="2093" w:type="dxa"/>
            <w:vMerge w:val="restart"/>
          </w:tcPr>
          <w:p w14:paraId="1B30B0D4"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Days After Sowing</w:t>
            </w:r>
          </w:p>
        </w:tc>
        <w:tc>
          <w:tcPr>
            <w:tcW w:w="2410" w:type="dxa"/>
            <w:gridSpan w:val="2"/>
          </w:tcPr>
          <w:p w14:paraId="35FC7A40"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1</w:t>
            </w:r>
          </w:p>
        </w:tc>
        <w:tc>
          <w:tcPr>
            <w:tcW w:w="2409" w:type="dxa"/>
            <w:gridSpan w:val="2"/>
          </w:tcPr>
          <w:p w14:paraId="31EABCC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2</w:t>
            </w:r>
          </w:p>
        </w:tc>
        <w:tc>
          <w:tcPr>
            <w:tcW w:w="2410" w:type="dxa"/>
            <w:gridSpan w:val="2"/>
          </w:tcPr>
          <w:p w14:paraId="1559A5E5"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3</w:t>
            </w:r>
          </w:p>
        </w:tc>
      </w:tr>
      <w:tr w:rsidR="007A7DBC" w:rsidRPr="007A7DBC" w14:paraId="09CD4181" w14:textId="77777777" w:rsidTr="0035688E">
        <w:trPr>
          <w:trHeight w:val="495"/>
        </w:trPr>
        <w:tc>
          <w:tcPr>
            <w:tcW w:w="2093" w:type="dxa"/>
            <w:vMerge/>
          </w:tcPr>
          <w:p w14:paraId="0317B205"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p>
        </w:tc>
        <w:tc>
          <w:tcPr>
            <w:tcW w:w="1276" w:type="dxa"/>
          </w:tcPr>
          <w:p w14:paraId="3F152A7B"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134" w:type="dxa"/>
          </w:tcPr>
          <w:p w14:paraId="2A0B8129"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c>
          <w:tcPr>
            <w:tcW w:w="1204" w:type="dxa"/>
          </w:tcPr>
          <w:p w14:paraId="1666CF86"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205" w:type="dxa"/>
          </w:tcPr>
          <w:p w14:paraId="0134020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c>
          <w:tcPr>
            <w:tcW w:w="1205" w:type="dxa"/>
          </w:tcPr>
          <w:p w14:paraId="433F734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205" w:type="dxa"/>
          </w:tcPr>
          <w:p w14:paraId="7437553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r>
      <w:tr w:rsidR="007A7DBC" w:rsidRPr="007A7DBC" w14:paraId="77228075" w14:textId="77777777" w:rsidTr="0035688E">
        <w:tc>
          <w:tcPr>
            <w:tcW w:w="2093" w:type="dxa"/>
          </w:tcPr>
          <w:p w14:paraId="2256A49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30 DAS</w:t>
            </w:r>
          </w:p>
        </w:tc>
        <w:tc>
          <w:tcPr>
            <w:tcW w:w="1276" w:type="dxa"/>
          </w:tcPr>
          <w:p w14:paraId="70F50D9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134" w:type="dxa"/>
          </w:tcPr>
          <w:p w14:paraId="0416764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5</w:t>
            </w:r>
          </w:p>
        </w:tc>
        <w:tc>
          <w:tcPr>
            <w:tcW w:w="1204" w:type="dxa"/>
          </w:tcPr>
          <w:p w14:paraId="6CC44C5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205" w:type="dxa"/>
          </w:tcPr>
          <w:p w14:paraId="41B1C1E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9</w:t>
            </w:r>
          </w:p>
        </w:tc>
        <w:tc>
          <w:tcPr>
            <w:tcW w:w="1205" w:type="dxa"/>
          </w:tcPr>
          <w:p w14:paraId="5B68B78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20</w:t>
            </w:r>
          </w:p>
        </w:tc>
        <w:tc>
          <w:tcPr>
            <w:tcW w:w="1205" w:type="dxa"/>
          </w:tcPr>
          <w:p w14:paraId="5B556C24"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r>
      <w:tr w:rsidR="007A7DBC" w:rsidRPr="007A7DBC" w14:paraId="7490E43F" w14:textId="77777777" w:rsidTr="0035688E">
        <w:tc>
          <w:tcPr>
            <w:tcW w:w="2093" w:type="dxa"/>
          </w:tcPr>
          <w:p w14:paraId="01A7117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60 DAS</w:t>
            </w:r>
          </w:p>
        </w:tc>
        <w:tc>
          <w:tcPr>
            <w:tcW w:w="1276" w:type="dxa"/>
          </w:tcPr>
          <w:p w14:paraId="01562A4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13</w:t>
            </w:r>
          </w:p>
        </w:tc>
        <w:tc>
          <w:tcPr>
            <w:tcW w:w="1134" w:type="dxa"/>
          </w:tcPr>
          <w:p w14:paraId="61A1693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7</w:t>
            </w:r>
          </w:p>
        </w:tc>
        <w:tc>
          <w:tcPr>
            <w:tcW w:w="1204" w:type="dxa"/>
          </w:tcPr>
          <w:p w14:paraId="084D825D"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33</w:t>
            </w:r>
          </w:p>
        </w:tc>
        <w:tc>
          <w:tcPr>
            <w:tcW w:w="1205" w:type="dxa"/>
          </w:tcPr>
          <w:p w14:paraId="208ED0D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12</w:t>
            </w:r>
          </w:p>
        </w:tc>
        <w:tc>
          <w:tcPr>
            <w:tcW w:w="1205" w:type="dxa"/>
          </w:tcPr>
          <w:p w14:paraId="21EDFA7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35</w:t>
            </w:r>
          </w:p>
        </w:tc>
        <w:tc>
          <w:tcPr>
            <w:tcW w:w="1205" w:type="dxa"/>
          </w:tcPr>
          <w:p w14:paraId="41AF13A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r>
      <w:tr w:rsidR="007A7DBC" w:rsidRPr="007A7DBC" w14:paraId="771D5F6D" w14:textId="77777777" w:rsidTr="0035688E">
        <w:tc>
          <w:tcPr>
            <w:tcW w:w="2093" w:type="dxa"/>
          </w:tcPr>
          <w:p w14:paraId="75914024"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90 DAS</w:t>
            </w:r>
          </w:p>
        </w:tc>
        <w:tc>
          <w:tcPr>
            <w:tcW w:w="1276" w:type="dxa"/>
          </w:tcPr>
          <w:p w14:paraId="60569DA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134" w:type="dxa"/>
          </w:tcPr>
          <w:p w14:paraId="75EA5A1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204" w:type="dxa"/>
          </w:tcPr>
          <w:p w14:paraId="3A8F296E"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45</w:t>
            </w:r>
          </w:p>
        </w:tc>
        <w:tc>
          <w:tcPr>
            <w:tcW w:w="1205" w:type="dxa"/>
          </w:tcPr>
          <w:p w14:paraId="21352B3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c>
          <w:tcPr>
            <w:tcW w:w="1205" w:type="dxa"/>
          </w:tcPr>
          <w:p w14:paraId="0FC7B70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47</w:t>
            </w:r>
          </w:p>
        </w:tc>
        <w:tc>
          <w:tcPr>
            <w:tcW w:w="1205" w:type="dxa"/>
          </w:tcPr>
          <w:p w14:paraId="7BC6079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16</w:t>
            </w:r>
          </w:p>
        </w:tc>
      </w:tr>
      <w:tr w:rsidR="007A7DBC" w:rsidRPr="007A7DBC" w14:paraId="03756825" w14:textId="77777777" w:rsidTr="0035688E">
        <w:tc>
          <w:tcPr>
            <w:tcW w:w="2093" w:type="dxa"/>
          </w:tcPr>
          <w:p w14:paraId="3CE2CE4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At The Time of Harvest (95 DAS)</w:t>
            </w:r>
          </w:p>
        </w:tc>
        <w:tc>
          <w:tcPr>
            <w:tcW w:w="1276" w:type="dxa"/>
          </w:tcPr>
          <w:p w14:paraId="6411945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134" w:type="dxa"/>
          </w:tcPr>
          <w:p w14:paraId="1174160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204" w:type="dxa"/>
          </w:tcPr>
          <w:p w14:paraId="2D7D2D1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46</w:t>
            </w:r>
          </w:p>
        </w:tc>
        <w:tc>
          <w:tcPr>
            <w:tcW w:w="1205" w:type="dxa"/>
          </w:tcPr>
          <w:p w14:paraId="3638519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16</w:t>
            </w:r>
          </w:p>
        </w:tc>
        <w:tc>
          <w:tcPr>
            <w:tcW w:w="1205" w:type="dxa"/>
          </w:tcPr>
          <w:p w14:paraId="299F774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49</w:t>
            </w:r>
          </w:p>
        </w:tc>
        <w:tc>
          <w:tcPr>
            <w:tcW w:w="1205" w:type="dxa"/>
          </w:tcPr>
          <w:p w14:paraId="65AEF18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18</w:t>
            </w:r>
          </w:p>
        </w:tc>
      </w:tr>
    </w:tbl>
    <w:p w14:paraId="4A291694" w14:textId="77777777" w:rsidR="007A7DBC" w:rsidRPr="007A7DBC" w:rsidRDefault="007A7DBC" w:rsidP="007A7DBC">
      <w:pPr>
        <w:spacing w:after="160" w:line="259" w:lineRule="auto"/>
        <w:jc w:val="left"/>
        <w:rPr>
          <w:rFonts w:ascii="Times New Roman" w:eastAsia="Calibri" w:hAnsi="Times New Roman" w:cs="Times New Roman"/>
          <w:i/>
          <w:noProof/>
          <w:color w:val="44546A"/>
          <w:kern w:val="2"/>
          <w:sz w:val="24"/>
          <w:szCs w:val="24"/>
          <w:lang w:val="en-US"/>
        </w:rPr>
      </w:pPr>
    </w:p>
    <w:p w14:paraId="2553FC04" w14:textId="77777777" w:rsidR="007A7DBC" w:rsidRPr="007A7DBC" w:rsidRDefault="007A7DBC" w:rsidP="007A7DBC">
      <w:pPr>
        <w:spacing w:after="160" w:line="259" w:lineRule="auto"/>
        <w:jc w:val="center"/>
        <w:rPr>
          <w:rFonts w:ascii="Calibri" w:eastAsia="Calibri" w:hAnsi="Calibri" w:cs="Times New Roman"/>
          <w:kern w:val="2"/>
          <w:lang w:val="en-US"/>
        </w:rPr>
      </w:pPr>
      <w:r w:rsidRPr="007A7DBC">
        <w:rPr>
          <w:rFonts w:ascii="Times New Roman" w:eastAsia="Calibri" w:hAnsi="Times New Roman" w:cs="Times New Roman"/>
          <w:i/>
          <w:noProof/>
          <w:color w:val="44546A"/>
          <w:kern w:val="2"/>
          <w:sz w:val="24"/>
          <w:szCs w:val="24"/>
          <w:lang w:val="en-US"/>
        </w:rPr>
        <w:drawing>
          <wp:inline distT="0" distB="0" distL="0" distR="0" wp14:anchorId="2F36D8F0" wp14:editId="662D4C8C">
            <wp:extent cx="2224405" cy="1255395"/>
            <wp:effectExtent l="19050" t="0" r="4445"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224405" cy="1255395"/>
                    </a:xfrm>
                    <a:prstGeom prst="rect">
                      <a:avLst/>
                    </a:prstGeom>
                    <a:noFill/>
                    <a:ln w="9525">
                      <a:noFill/>
                      <a:miter lim="800000"/>
                      <a:headEnd/>
                      <a:tailEnd/>
                    </a:ln>
                  </pic:spPr>
                </pic:pic>
              </a:graphicData>
            </a:graphic>
          </wp:inline>
        </w:drawing>
      </w:r>
    </w:p>
    <w:p w14:paraId="21F7ED89"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bookmarkStart w:id="2" w:name="_Hlk172835831"/>
      <w:r w:rsidRPr="007A7DBC">
        <w:rPr>
          <w:rFonts w:ascii="Times New Roman" w:eastAsia="Calibri" w:hAnsi="Times New Roman" w:cs="Times New Roman"/>
          <w:i/>
          <w:kern w:val="2"/>
          <w:sz w:val="24"/>
          <w:szCs w:val="24"/>
          <w:lang w:val="en-US"/>
        </w:rPr>
        <w:t>Figure 5: Stunted growth observed in the T1</w:t>
      </w:r>
    </w:p>
    <w:bookmarkEnd w:id="2"/>
    <w:p w14:paraId="3F607092"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noProof/>
          <w:kern w:val="2"/>
          <w:sz w:val="24"/>
          <w:szCs w:val="24"/>
          <w:lang w:val="en-US"/>
        </w:rPr>
        <w:lastRenderedPageBreak/>
        <w:drawing>
          <wp:inline distT="0" distB="0" distL="0" distR="0" wp14:anchorId="72DE7D22" wp14:editId="5C737F3B">
            <wp:extent cx="1531620" cy="2262735"/>
            <wp:effectExtent l="0" t="0" r="0" b="4445"/>
            <wp:docPr id="1513621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22" b="14438"/>
                    <a:stretch/>
                  </pic:blipFill>
                  <pic:spPr bwMode="auto">
                    <a:xfrm>
                      <a:off x="0" y="0"/>
                      <a:ext cx="1540135" cy="2275315"/>
                    </a:xfrm>
                    <a:prstGeom prst="rect">
                      <a:avLst/>
                    </a:prstGeom>
                    <a:noFill/>
                    <a:ln>
                      <a:noFill/>
                    </a:ln>
                    <a:extLst>
                      <a:ext uri="{53640926-AAD7-44D8-BBD7-CCE9431645EC}">
                        <a14:shadowObscured xmlns:a14="http://schemas.microsoft.com/office/drawing/2010/main"/>
                      </a:ext>
                    </a:extLst>
                  </pic:spPr>
                </pic:pic>
              </a:graphicData>
            </a:graphic>
          </wp:inline>
        </w:drawing>
      </w:r>
    </w:p>
    <w:p w14:paraId="71CB55AC"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6: Bunchy growth observed in the T2</w:t>
      </w:r>
    </w:p>
    <w:p w14:paraId="20A29003"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noProof/>
          <w:kern w:val="2"/>
          <w:sz w:val="24"/>
          <w:szCs w:val="24"/>
          <w:lang w:val="en-US"/>
        </w:rPr>
        <w:drawing>
          <wp:anchor distT="0" distB="0" distL="114300" distR="114300" simplePos="0" relativeHeight="251660288" behindDoc="0" locked="0" layoutInCell="1" allowOverlap="1" wp14:anchorId="55E4DA44" wp14:editId="479648C1">
            <wp:simplePos x="0" y="0"/>
            <wp:positionH relativeFrom="margin">
              <wp:align>center</wp:align>
            </wp:positionH>
            <wp:positionV relativeFrom="paragraph">
              <wp:posOffset>0</wp:posOffset>
            </wp:positionV>
            <wp:extent cx="2270125" cy="1584960"/>
            <wp:effectExtent l="0" t="0" r="0"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270125" cy="1584960"/>
                    </a:xfrm>
                    <a:prstGeom prst="rect">
                      <a:avLst/>
                    </a:prstGeom>
                    <a:noFill/>
                    <a:ln w="9525">
                      <a:noFill/>
                      <a:miter lim="800000"/>
                      <a:headEnd/>
                      <a:tailEnd/>
                    </a:ln>
                  </pic:spPr>
                </pic:pic>
              </a:graphicData>
            </a:graphic>
          </wp:anchor>
        </w:drawing>
      </w:r>
    </w:p>
    <w:p w14:paraId="177B858E" w14:textId="77777777" w:rsidR="007A7DBC" w:rsidRPr="007A7DBC" w:rsidRDefault="007A7DBC" w:rsidP="007A7DBC">
      <w:pPr>
        <w:spacing w:after="160" w:line="259" w:lineRule="auto"/>
        <w:ind w:left="720" w:hanging="720"/>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7: Bunchy growth observed in the T3</w:t>
      </w:r>
    </w:p>
    <w:p w14:paraId="78BF507B" w14:textId="77777777" w:rsidR="007A7DBC" w:rsidRPr="007A7DBC" w:rsidRDefault="007A7DBC" w:rsidP="00F80CBB">
      <w:pPr>
        <w:spacing w:after="160" w:line="259" w:lineRule="auto"/>
        <w:ind w:left="720" w:hanging="720"/>
        <w:jc w:val="left"/>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Table 2: Effect on Fundamental Yield Parameters</w:t>
      </w:r>
    </w:p>
    <w:tbl>
      <w:tblPr>
        <w:tblpPr w:leftFromText="180" w:rightFromText="180"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166"/>
        <w:gridCol w:w="1319"/>
        <w:gridCol w:w="1265"/>
        <w:gridCol w:w="1297"/>
        <w:gridCol w:w="1326"/>
        <w:gridCol w:w="1297"/>
      </w:tblGrid>
      <w:tr w:rsidR="007A7DBC" w:rsidRPr="007A7DBC" w14:paraId="59597D0F" w14:textId="77777777" w:rsidTr="0035688E">
        <w:trPr>
          <w:trHeight w:val="495"/>
        </w:trPr>
        <w:tc>
          <w:tcPr>
            <w:tcW w:w="9039" w:type="dxa"/>
            <w:gridSpan w:val="7"/>
          </w:tcPr>
          <w:p w14:paraId="5E7F6BD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FILLED AND UNFILLED PODS</w:t>
            </w:r>
          </w:p>
        </w:tc>
      </w:tr>
      <w:tr w:rsidR="007A7DBC" w:rsidRPr="007A7DBC" w14:paraId="771D7816" w14:textId="77777777" w:rsidTr="0035688E">
        <w:trPr>
          <w:trHeight w:val="495"/>
        </w:trPr>
        <w:tc>
          <w:tcPr>
            <w:tcW w:w="1369" w:type="dxa"/>
            <w:vMerge w:val="restart"/>
          </w:tcPr>
          <w:p w14:paraId="591F93B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Days After Sowing</w:t>
            </w:r>
          </w:p>
        </w:tc>
        <w:tc>
          <w:tcPr>
            <w:tcW w:w="2485" w:type="dxa"/>
            <w:gridSpan w:val="2"/>
          </w:tcPr>
          <w:p w14:paraId="2B73E46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T1</w:t>
            </w:r>
          </w:p>
        </w:tc>
        <w:tc>
          <w:tcPr>
            <w:tcW w:w="2562" w:type="dxa"/>
            <w:gridSpan w:val="2"/>
          </w:tcPr>
          <w:p w14:paraId="180EDB8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 xml:space="preserve">T2  </w:t>
            </w:r>
          </w:p>
        </w:tc>
        <w:tc>
          <w:tcPr>
            <w:tcW w:w="2623" w:type="dxa"/>
            <w:gridSpan w:val="2"/>
          </w:tcPr>
          <w:p w14:paraId="0D07964B"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T3</w:t>
            </w:r>
          </w:p>
        </w:tc>
      </w:tr>
      <w:tr w:rsidR="007A7DBC" w:rsidRPr="007A7DBC" w14:paraId="72BB73A7" w14:textId="77777777" w:rsidTr="0035688E">
        <w:trPr>
          <w:trHeight w:val="495"/>
        </w:trPr>
        <w:tc>
          <w:tcPr>
            <w:tcW w:w="1369" w:type="dxa"/>
            <w:vMerge/>
          </w:tcPr>
          <w:p w14:paraId="4094D0B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p>
        </w:tc>
        <w:tc>
          <w:tcPr>
            <w:tcW w:w="1166" w:type="dxa"/>
          </w:tcPr>
          <w:p w14:paraId="2817C58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319" w:type="dxa"/>
          </w:tcPr>
          <w:p w14:paraId="3301F66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c>
          <w:tcPr>
            <w:tcW w:w="1265" w:type="dxa"/>
          </w:tcPr>
          <w:p w14:paraId="6D57B5B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297" w:type="dxa"/>
          </w:tcPr>
          <w:p w14:paraId="58E44DC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c>
          <w:tcPr>
            <w:tcW w:w="1326" w:type="dxa"/>
          </w:tcPr>
          <w:p w14:paraId="4988D2FD"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297" w:type="dxa"/>
          </w:tcPr>
          <w:p w14:paraId="21130BE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r>
      <w:tr w:rsidR="007A7DBC" w:rsidRPr="007A7DBC" w14:paraId="4D1838B9" w14:textId="77777777" w:rsidTr="0035688E">
        <w:tc>
          <w:tcPr>
            <w:tcW w:w="1369" w:type="dxa"/>
          </w:tcPr>
          <w:p w14:paraId="1C50C15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30 DAS</w:t>
            </w:r>
          </w:p>
        </w:tc>
        <w:tc>
          <w:tcPr>
            <w:tcW w:w="1166" w:type="dxa"/>
          </w:tcPr>
          <w:p w14:paraId="6116AB4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319" w:type="dxa"/>
          </w:tcPr>
          <w:p w14:paraId="3DB5C039"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265" w:type="dxa"/>
          </w:tcPr>
          <w:p w14:paraId="009C2719"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297" w:type="dxa"/>
          </w:tcPr>
          <w:p w14:paraId="01949C2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326" w:type="dxa"/>
          </w:tcPr>
          <w:p w14:paraId="3D36AB14"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297" w:type="dxa"/>
          </w:tcPr>
          <w:p w14:paraId="754E04BA"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r>
      <w:tr w:rsidR="007A7DBC" w:rsidRPr="007A7DBC" w14:paraId="34423AAB" w14:textId="77777777" w:rsidTr="0035688E">
        <w:tc>
          <w:tcPr>
            <w:tcW w:w="1369" w:type="dxa"/>
          </w:tcPr>
          <w:p w14:paraId="3544F370"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60 DAS</w:t>
            </w:r>
          </w:p>
        </w:tc>
        <w:tc>
          <w:tcPr>
            <w:tcW w:w="1166" w:type="dxa"/>
          </w:tcPr>
          <w:p w14:paraId="313BEE8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319" w:type="dxa"/>
          </w:tcPr>
          <w:p w14:paraId="633B490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265" w:type="dxa"/>
          </w:tcPr>
          <w:p w14:paraId="746E498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297" w:type="dxa"/>
          </w:tcPr>
          <w:p w14:paraId="460840D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326" w:type="dxa"/>
          </w:tcPr>
          <w:p w14:paraId="45ABA4B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297" w:type="dxa"/>
          </w:tcPr>
          <w:p w14:paraId="64DAAD9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r>
      <w:tr w:rsidR="007A7DBC" w:rsidRPr="007A7DBC" w14:paraId="687420CD" w14:textId="77777777" w:rsidTr="0035688E">
        <w:tc>
          <w:tcPr>
            <w:tcW w:w="1369" w:type="dxa"/>
          </w:tcPr>
          <w:p w14:paraId="6BD19087"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90 DAS</w:t>
            </w:r>
          </w:p>
        </w:tc>
        <w:tc>
          <w:tcPr>
            <w:tcW w:w="1166" w:type="dxa"/>
          </w:tcPr>
          <w:p w14:paraId="61A2862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c>
          <w:tcPr>
            <w:tcW w:w="1319" w:type="dxa"/>
          </w:tcPr>
          <w:p w14:paraId="33014A6E"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9</w:t>
            </w:r>
          </w:p>
        </w:tc>
        <w:tc>
          <w:tcPr>
            <w:tcW w:w="1265" w:type="dxa"/>
          </w:tcPr>
          <w:p w14:paraId="539123A5"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23</w:t>
            </w:r>
          </w:p>
        </w:tc>
        <w:tc>
          <w:tcPr>
            <w:tcW w:w="1297" w:type="dxa"/>
          </w:tcPr>
          <w:p w14:paraId="021147F0"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326" w:type="dxa"/>
          </w:tcPr>
          <w:p w14:paraId="6C01713D"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c>
          <w:tcPr>
            <w:tcW w:w="1297" w:type="dxa"/>
          </w:tcPr>
          <w:p w14:paraId="0E62341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21</w:t>
            </w:r>
          </w:p>
        </w:tc>
      </w:tr>
      <w:tr w:rsidR="007A7DBC" w:rsidRPr="007A7DBC" w14:paraId="1D6EFC23" w14:textId="77777777" w:rsidTr="0035688E">
        <w:tc>
          <w:tcPr>
            <w:tcW w:w="1369" w:type="dxa"/>
          </w:tcPr>
          <w:p w14:paraId="4A1B544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lastRenderedPageBreak/>
              <w:t>At the time of harvest</w:t>
            </w:r>
          </w:p>
        </w:tc>
        <w:tc>
          <w:tcPr>
            <w:tcW w:w="1166" w:type="dxa"/>
          </w:tcPr>
          <w:p w14:paraId="157C1E2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319" w:type="dxa"/>
          </w:tcPr>
          <w:p w14:paraId="559D7E2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12</w:t>
            </w:r>
          </w:p>
        </w:tc>
        <w:tc>
          <w:tcPr>
            <w:tcW w:w="1265" w:type="dxa"/>
          </w:tcPr>
          <w:p w14:paraId="15FDA305"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c>
          <w:tcPr>
            <w:tcW w:w="1297" w:type="dxa"/>
          </w:tcPr>
          <w:p w14:paraId="3E63AC2A"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20</w:t>
            </w:r>
          </w:p>
        </w:tc>
        <w:tc>
          <w:tcPr>
            <w:tcW w:w="1326" w:type="dxa"/>
          </w:tcPr>
          <w:p w14:paraId="10D0ADB0" w14:textId="77777777" w:rsidR="007A7DBC" w:rsidRPr="007A7DBC" w:rsidRDefault="007A7DBC" w:rsidP="007A7DBC">
            <w:pPr>
              <w:spacing w:before="240" w:after="0" w:line="360" w:lineRule="auto"/>
              <w:rPr>
                <w:rFonts w:ascii="Times New Roman" w:eastAsia="Calibri" w:hAnsi="Times New Roman" w:cs="Times New Roman"/>
                <w:kern w:val="2"/>
                <w:sz w:val="24"/>
                <w:szCs w:val="24"/>
                <w:u w:val="single"/>
                <w:lang w:val="en-US"/>
              </w:rPr>
            </w:pPr>
            <w:r w:rsidRPr="007A7DBC">
              <w:rPr>
                <w:rFonts w:ascii="Times New Roman" w:eastAsia="Calibri" w:hAnsi="Times New Roman" w:cs="Times New Roman"/>
                <w:kern w:val="2"/>
                <w:sz w:val="24"/>
                <w:szCs w:val="24"/>
                <w:lang w:val="en-US"/>
              </w:rPr>
              <w:t>30</w:t>
            </w:r>
          </w:p>
        </w:tc>
        <w:tc>
          <w:tcPr>
            <w:tcW w:w="1297" w:type="dxa"/>
          </w:tcPr>
          <w:p w14:paraId="30A3F80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r>
    </w:tbl>
    <w:p w14:paraId="45CB8B27" w14:textId="77777777" w:rsidR="007A7DBC" w:rsidRPr="007A7DBC" w:rsidRDefault="007A7DBC" w:rsidP="007A7DBC">
      <w:pPr>
        <w:keepNext/>
        <w:spacing w:before="240" w:after="160" w:line="360" w:lineRule="auto"/>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6B71FD16" wp14:editId="0F072131">
            <wp:extent cx="2484120" cy="1105535"/>
            <wp:effectExtent l="19050" t="0" r="0"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484120" cy="1105535"/>
                    </a:xfrm>
                    <a:prstGeom prst="rect">
                      <a:avLst/>
                    </a:prstGeom>
                    <a:noFill/>
                    <a:ln w="9525">
                      <a:noFill/>
                      <a:miter lim="800000"/>
                      <a:headEnd/>
                      <a:tailEnd/>
                    </a:ln>
                  </pic:spPr>
                </pic:pic>
              </a:graphicData>
            </a:graphic>
          </wp:inline>
        </w:drawing>
      </w:r>
    </w:p>
    <w:p w14:paraId="2CA6391A" w14:textId="77777777" w:rsidR="007A7DBC" w:rsidRPr="007A7DBC" w:rsidRDefault="007A7DBC" w:rsidP="007A7DBC">
      <w:pPr>
        <w:keepNext/>
        <w:spacing w:before="240" w:after="160" w:line="360" w:lineRule="auto"/>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i/>
          <w:noProof/>
          <w:kern w:val="2"/>
          <w:sz w:val="24"/>
          <w:szCs w:val="24"/>
          <w:lang w:val="en-US"/>
        </w:rPr>
        <w:t>Figure 8: Plant growth in the T1</w:t>
      </w:r>
    </w:p>
    <w:p w14:paraId="7FE95D6D" w14:textId="77777777" w:rsidR="007A7DBC" w:rsidRPr="007A7DBC" w:rsidRDefault="007A7DBC" w:rsidP="007A7DBC">
      <w:pPr>
        <w:keepNext/>
        <w:spacing w:before="240" w:after="160" w:line="360" w:lineRule="auto"/>
        <w:jc w:val="center"/>
        <w:rPr>
          <w:rFonts w:ascii="Times New Roman" w:eastAsia="Calibri" w:hAnsi="Times New Roman" w:cs="Times New Roman"/>
          <w:kern w:val="2"/>
          <w:sz w:val="24"/>
          <w:szCs w:val="24"/>
          <w:lang w:val="en-US"/>
        </w:rPr>
      </w:pPr>
      <w:r w:rsidRPr="007A7DBC">
        <w:rPr>
          <w:rFonts w:ascii="Times New Roman" w:eastAsia="Calibri" w:hAnsi="Times New Roman" w:cs="Times New Roman"/>
          <w:i/>
          <w:noProof/>
          <w:kern w:val="2"/>
          <w:sz w:val="24"/>
          <w:szCs w:val="24"/>
          <w:lang w:val="en-US"/>
        </w:rPr>
        <w:drawing>
          <wp:inline distT="0" distB="0" distL="0" distR="0" wp14:anchorId="1F91135E" wp14:editId="1BA0CA54">
            <wp:extent cx="2484120" cy="1105535"/>
            <wp:effectExtent l="19050" t="0" r="0" b="0"/>
            <wp:docPr id="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484120" cy="1105535"/>
                    </a:xfrm>
                    <a:prstGeom prst="rect">
                      <a:avLst/>
                    </a:prstGeom>
                    <a:noFill/>
                    <a:ln w="9525">
                      <a:noFill/>
                      <a:miter lim="800000"/>
                      <a:headEnd/>
                      <a:tailEnd/>
                    </a:ln>
                  </pic:spPr>
                </pic:pic>
              </a:graphicData>
            </a:graphic>
          </wp:inline>
        </w:drawing>
      </w:r>
    </w:p>
    <w:p w14:paraId="36B22DA3"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9: Plant growth in the T2</w:t>
      </w:r>
    </w:p>
    <w:p w14:paraId="6C8D969C"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027EAF71" wp14:editId="511D3AFF">
            <wp:extent cx="2661285" cy="1187450"/>
            <wp:effectExtent l="19050" t="0" r="5715" b="0"/>
            <wp:docPr id="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661285" cy="1187450"/>
                    </a:xfrm>
                    <a:prstGeom prst="rect">
                      <a:avLst/>
                    </a:prstGeom>
                    <a:noFill/>
                    <a:ln w="9525">
                      <a:noFill/>
                      <a:miter lim="800000"/>
                      <a:headEnd/>
                      <a:tailEnd/>
                    </a:ln>
                  </pic:spPr>
                </pic:pic>
              </a:graphicData>
            </a:graphic>
          </wp:inline>
        </w:drawing>
      </w:r>
    </w:p>
    <w:p w14:paraId="09FB6FA5" w14:textId="62AC5A2B" w:rsidR="007A7DBC" w:rsidRPr="007A7DBC" w:rsidRDefault="007A7DBC" w:rsidP="000D4C8B">
      <w:pPr>
        <w:keepNext/>
        <w:spacing w:before="240" w:after="160" w:line="360" w:lineRule="auto"/>
        <w:jc w:val="center"/>
        <w:rPr>
          <w:rFonts w:ascii="Times New Roman" w:eastAsia="Calibri" w:hAnsi="Times New Roman" w:cs="Times New Roman"/>
          <w:i/>
          <w:kern w:val="2"/>
          <w:sz w:val="24"/>
          <w:szCs w:val="24"/>
          <w:lang w:val="en-US"/>
        </w:rPr>
      </w:pPr>
      <w:bookmarkStart w:id="3" w:name="_Hlk172836348"/>
      <w:r w:rsidRPr="007A7DBC">
        <w:rPr>
          <w:rFonts w:ascii="Times New Roman" w:eastAsia="Calibri" w:hAnsi="Times New Roman" w:cs="Times New Roman"/>
          <w:i/>
          <w:kern w:val="2"/>
          <w:sz w:val="24"/>
          <w:szCs w:val="24"/>
          <w:lang w:val="en-US"/>
        </w:rPr>
        <w:t>Figure 10: Plant growth in T3</w:t>
      </w:r>
      <w:bookmarkEnd w:id="3"/>
    </w:p>
    <w:p w14:paraId="50EF9BA2" w14:textId="1E2E742C" w:rsidR="007A7DBC" w:rsidRPr="007A7DBC" w:rsidRDefault="00F80CBB" w:rsidP="007A7DBC">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Discussion</w:t>
      </w:r>
      <w:r>
        <w:rPr>
          <w:rFonts w:ascii="Times New Roman" w:eastAsia="Calibri" w:hAnsi="Times New Roman" w:cs="Times New Roman"/>
          <w:b/>
          <w:bCs/>
          <w:sz w:val="24"/>
          <w:szCs w:val="24"/>
          <w:lang w:val="en-US"/>
        </w:rPr>
        <w:t xml:space="preserve">: </w:t>
      </w:r>
      <w:r w:rsidR="007A7DBC" w:rsidRPr="007A7DBC">
        <w:rPr>
          <w:rFonts w:ascii="Times New Roman" w:eastAsia="Calibri" w:hAnsi="Times New Roman" w:cs="Times New Roman"/>
          <w:sz w:val="24"/>
          <w:szCs w:val="24"/>
          <w:lang w:val="en-US"/>
        </w:rPr>
        <w:t>Upon observing the soil, it shows aggregation due to decomposition. Water hyacinth releases gum-like substances which aid in binding soil particles together. It also increases soil microbial activity and population, further enhancing decomposition and the release and easy absorption of minerals by roots. When observing the agronomical growth parameters.</w:t>
      </w:r>
    </w:p>
    <w:p w14:paraId="13327BC2"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lastRenderedPageBreak/>
        <w:drawing>
          <wp:inline distT="0" distB="0" distL="0" distR="0" wp14:anchorId="696D2446" wp14:editId="1B1587E5">
            <wp:extent cx="3976370" cy="2068195"/>
            <wp:effectExtent l="19050" t="0" r="508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76370" cy="2068195"/>
                    </a:xfrm>
                    <a:prstGeom prst="rect">
                      <a:avLst/>
                    </a:prstGeom>
                    <a:noFill/>
                  </pic:spPr>
                </pic:pic>
              </a:graphicData>
            </a:graphic>
          </wp:inline>
        </w:drawing>
      </w:r>
    </w:p>
    <w:p w14:paraId="12C27627" w14:textId="77777777" w:rsidR="007A7DBC" w:rsidRPr="007A7DBC" w:rsidRDefault="007A7DBC" w:rsidP="007A7DBC">
      <w:pPr>
        <w:spacing w:after="160" w:line="360" w:lineRule="auto"/>
        <w:jc w:val="center"/>
        <w:rPr>
          <w:rFonts w:ascii="Times New Roman" w:eastAsia="Calibri" w:hAnsi="Times New Roman" w:cs="Times New Roman"/>
          <w:i/>
          <w:sz w:val="24"/>
          <w:szCs w:val="24"/>
          <w:lang w:val="en-US"/>
        </w:rPr>
      </w:pPr>
      <w:r w:rsidRPr="007A7DBC">
        <w:rPr>
          <w:rFonts w:ascii="Times New Roman" w:eastAsia="Calibri" w:hAnsi="Times New Roman" w:cs="Times New Roman"/>
          <w:i/>
          <w:sz w:val="24"/>
          <w:szCs w:val="24"/>
          <w:lang w:val="en-US"/>
        </w:rPr>
        <w:t>Figure 11: Effects on Plant Height</w:t>
      </w:r>
    </w:p>
    <w:p w14:paraId="493B843E"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drawing>
          <wp:inline distT="0" distB="0" distL="0" distR="0" wp14:anchorId="240B1656" wp14:editId="5864B948">
            <wp:extent cx="3975100" cy="2023745"/>
            <wp:effectExtent l="1905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975100" cy="2023745"/>
                    </a:xfrm>
                    <a:prstGeom prst="rect">
                      <a:avLst/>
                    </a:prstGeom>
                    <a:noFill/>
                  </pic:spPr>
                </pic:pic>
              </a:graphicData>
            </a:graphic>
          </wp:inline>
        </w:drawing>
      </w:r>
    </w:p>
    <w:p w14:paraId="0B4D22B5"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12: Effects on Average Number of Filled Pods per Plant</w:t>
      </w:r>
    </w:p>
    <w:p w14:paraId="2939279D"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drawing>
          <wp:inline distT="0" distB="0" distL="0" distR="0" wp14:anchorId="2B24E968" wp14:editId="421B03FD">
            <wp:extent cx="3976370" cy="1967865"/>
            <wp:effectExtent l="19050" t="0" r="508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976370" cy="1967865"/>
                    </a:xfrm>
                    <a:prstGeom prst="rect">
                      <a:avLst/>
                    </a:prstGeom>
                    <a:noFill/>
                  </pic:spPr>
                </pic:pic>
              </a:graphicData>
            </a:graphic>
          </wp:inline>
        </w:drawing>
      </w:r>
    </w:p>
    <w:p w14:paraId="10B16BCF"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 xml:space="preserve">Figure 13: </w:t>
      </w:r>
      <w:bookmarkStart w:id="4" w:name="_Hlk172836553"/>
      <w:r w:rsidRPr="007A7DBC">
        <w:rPr>
          <w:rFonts w:ascii="Times New Roman" w:eastAsia="Calibri" w:hAnsi="Times New Roman" w:cs="Times New Roman"/>
          <w:i/>
          <w:kern w:val="2"/>
          <w:sz w:val="24"/>
          <w:szCs w:val="24"/>
          <w:lang w:val="en-US"/>
        </w:rPr>
        <w:t>Effects on Plant Width</w:t>
      </w:r>
      <w:bookmarkEnd w:id="4"/>
    </w:p>
    <w:p w14:paraId="01819967" w14:textId="77777777" w:rsidR="007A7DBC" w:rsidRPr="007A7DBC" w:rsidRDefault="007A7DBC" w:rsidP="007A7DBC">
      <w:pPr>
        <w:spacing w:after="160" w:line="360" w:lineRule="auto"/>
        <w:rPr>
          <w:rFonts w:ascii="Times New Roman" w:eastAsia="Calibri" w:hAnsi="Times New Roman" w:cs="Times New Roman"/>
          <w:b/>
          <w:bCs/>
          <w:sz w:val="24"/>
          <w:szCs w:val="24"/>
          <w:lang w:val="en-US"/>
        </w:rPr>
      </w:pPr>
    </w:p>
    <w:p w14:paraId="63E6B68B" w14:textId="2584148E"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lastRenderedPageBreak/>
        <w:drawing>
          <wp:inline distT="0" distB="0" distL="0" distR="0" wp14:anchorId="2174C625" wp14:editId="69234C50">
            <wp:extent cx="3975100" cy="1920240"/>
            <wp:effectExtent l="0" t="0" r="6350" b="3810"/>
            <wp:docPr id="179457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1920240"/>
                    </a:xfrm>
                    <a:prstGeom prst="rect">
                      <a:avLst/>
                    </a:prstGeom>
                    <a:noFill/>
                  </pic:spPr>
                </pic:pic>
              </a:graphicData>
            </a:graphic>
          </wp:inline>
        </w:drawing>
      </w:r>
    </w:p>
    <w:p w14:paraId="24F5E032" w14:textId="17632807" w:rsidR="007A7DBC" w:rsidRPr="007A7DBC" w:rsidRDefault="007A7DBC" w:rsidP="007A7DBC">
      <w:pPr>
        <w:spacing w:after="160" w:line="360" w:lineRule="auto"/>
        <w:jc w:val="center"/>
        <w:rPr>
          <w:rFonts w:ascii="Times New Roman" w:eastAsia="Calibri" w:hAnsi="Times New Roman" w:cs="Times New Roman"/>
          <w:i/>
          <w:sz w:val="24"/>
          <w:szCs w:val="24"/>
          <w:lang w:val="en-US"/>
        </w:rPr>
      </w:pPr>
      <w:bookmarkStart w:id="5" w:name="_Hlk172836798"/>
      <w:r w:rsidRPr="007A7DBC">
        <w:rPr>
          <w:rFonts w:ascii="Times New Roman" w:eastAsia="Calibri" w:hAnsi="Times New Roman" w:cs="Times New Roman"/>
          <w:i/>
          <w:sz w:val="24"/>
          <w:szCs w:val="24"/>
          <w:lang w:val="en-US"/>
        </w:rPr>
        <w:t>Figure 14: Effects on Average Number of Pods per Plant</w:t>
      </w:r>
    </w:p>
    <w:bookmarkEnd w:id="5"/>
    <w:p w14:paraId="1D72E3A3" w14:textId="64EA6CCD" w:rsidR="007A7DBC" w:rsidRDefault="007A7DBC" w:rsidP="007A7DBC">
      <w:pPr>
        <w:spacing w:after="160" w:line="360" w:lineRule="auto"/>
        <w:ind w:firstLine="720"/>
        <w:rPr>
          <w:rFonts w:ascii="Times New Roman" w:eastAsia="Calibri" w:hAnsi="Times New Roman" w:cs="Times New Roman"/>
          <w:sz w:val="24"/>
          <w:szCs w:val="24"/>
        </w:rPr>
      </w:pPr>
      <w:r w:rsidRPr="007A7DBC">
        <w:rPr>
          <w:rFonts w:ascii="Times New Roman" w:eastAsia="Calibri" w:hAnsi="Times New Roman" w:cs="Times New Roman"/>
          <w:sz w:val="24"/>
          <w:szCs w:val="24"/>
          <w:lang w:val="en-US"/>
        </w:rPr>
        <w:t xml:space="preserve">From Table 1, agronomical growth parameters were calculated at the 30th, 60th, and 90th days and at the time of harvest. Results show that good plant height and width were achieved in T2 (Fig. 6) and T3 (Fig. 7), while stunted growth (maximum height 15 cm) was observed in the control T1 (Fig. 5). The maximum plant height of 49 cm was observed in T3, and 46 cm was observed in T2. The maximum width of 18 cm was observed in T3, and 16 cm was observed in T2. </w:t>
      </w:r>
      <w:r w:rsidRPr="007A7DBC">
        <w:rPr>
          <w:rFonts w:ascii="Times New Roman" w:eastAsia="Calibri" w:hAnsi="Times New Roman" w:cs="Times New Roman"/>
          <w:sz w:val="24"/>
          <w:szCs w:val="24"/>
        </w:rPr>
        <w:t>The application of water hyacinth green manure to the field on the 45th day promotes soil aggregation during the earthing-up process, which helps in more peg formation compared to the control. The application of gypsum-enriched water hyacinth green manure further promotes numerous peg formations. The presence of gypsum prevents soil compaction and loosens the soil, promoting easy peg penetration. Enrichment with water hyacinth promotes soil aggregation by releasing gummy substances, which further promotes peg formation and prevents soil erosion due to external factors.</w:t>
      </w:r>
      <w:r w:rsidRPr="007A7DBC">
        <w:rPr>
          <w:rFonts w:ascii="Times New Roman" w:eastAsia="Calibri" w:hAnsi="Times New Roman" w:cs="Times New Roman"/>
          <w:sz w:val="24"/>
          <w:szCs w:val="24"/>
          <w:lang w:val="en-US"/>
        </w:rPr>
        <w:t xml:space="preserve"> </w:t>
      </w:r>
      <w:r w:rsidRPr="007A7DBC">
        <w:rPr>
          <w:rFonts w:ascii="Times New Roman" w:eastAsia="Calibri" w:hAnsi="Times New Roman" w:cs="Times New Roman"/>
          <w:sz w:val="24"/>
          <w:szCs w:val="24"/>
        </w:rPr>
        <w:t>From Table 2, the number of filled and unfilled pods per plant is observed. Results show that the maximum number of good-sized filled pods (25) is achieved in T3. In T2, a maximum number of 20 filled pods is observed, while a lower number of small-sized pods is observed in the control T1.</w:t>
      </w:r>
    </w:p>
    <w:p w14:paraId="097A56D7" w14:textId="46FDA345" w:rsidR="00146FC6" w:rsidRPr="007A7DBC" w:rsidRDefault="00146FC6" w:rsidP="007A7DBC">
      <w:pPr>
        <w:spacing w:after="160" w:line="360" w:lineRule="auto"/>
        <w:ind w:firstLine="720"/>
        <w:rPr>
          <w:rFonts w:ascii="Times New Roman" w:eastAsia="Calibri" w:hAnsi="Times New Roman" w:cs="Times New Roman"/>
          <w:sz w:val="24"/>
          <w:szCs w:val="24"/>
        </w:rPr>
      </w:pPr>
      <w:r w:rsidRPr="007A7DBC">
        <w:rPr>
          <w:rFonts w:ascii="Times New Roman" w:eastAsia="Calibri" w:hAnsi="Times New Roman" w:cs="Times New Roman"/>
          <w:b/>
          <w:bCs/>
          <w:noProof/>
          <w:sz w:val="24"/>
          <w:szCs w:val="24"/>
          <w:lang w:val="en-US"/>
        </w:rPr>
        <w:lastRenderedPageBreak/>
        <w:drawing>
          <wp:anchor distT="0" distB="0" distL="114300" distR="114300" simplePos="0" relativeHeight="251662336" behindDoc="1" locked="0" layoutInCell="1" allowOverlap="1" wp14:anchorId="0B6D70AD" wp14:editId="008851D3">
            <wp:simplePos x="0" y="0"/>
            <wp:positionH relativeFrom="margin">
              <wp:posOffset>0</wp:posOffset>
            </wp:positionH>
            <wp:positionV relativeFrom="paragraph">
              <wp:posOffset>365760</wp:posOffset>
            </wp:positionV>
            <wp:extent cx="5944235" cy="3362325"/>
            <wp:effectExtent l="0" t="0" r="0" b="9525"/>
            <wp:wrapTight wrapText="bothSides">
              <wp:wrapPolygon edited="0">
                <wp:start x="0" y="0"/>
                <wp:lineTo x="0" y="21539"/>
                <wp:lineTo x="21528" y="21539"/>
                <wp:lineTo x="21528" y="0"/>
                <wp:lineTo x="0" y="0"/>
              </wp:wrapPolygon>
            </wp:wrapTight>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944235" cy="3362325"/>
                    </a:xfrm>
                    <a:prstGeom prst="rect">
                      <a:avLst/>
                    </a:prstGeom>
                    <a:noFill/>
                  </pic:spPr>
                </pic:pic>
              </a:graphicData>
            </a:graphic>
          </wp:anchor>
        </w:drawing>
      </w:r>
    </w:p>
    <w:p w14:paraId="5B93B848" w14:textId="77777777" w:rsidR="007A7DBC" w:rsidRPr="007A7DBC" w:rsidRDefault="007A7DBC" w:rsidP="007A7DBC">
      <w:pPr>
        <w:spacing w:after="160" w:line="360" w:lineRule="auto"/>
        <w:ind w:firstLine="720"/>
        <w:jc w:val="center"/>
        <w:rPr>
          <w:rFonts w:ascii="Times New Roman" w:eastAsia="Calibri" w:hAnsi="Times New Roman" w:cs="Times New Roman"/>
          <w:sz w:val="24"/>
          <w:szCs w:val="24"/>
          <w:lang w:val="en-US"/>
        </w:rPr>
      </w:pPr>
      <w:r w:rsidRPr="007A7DBC">
        <w:rPr>
          <w:rFonts w:ascii="Times New Roman" w:eastAsia="Calibri" w:hAnsi="Times New Roman" w:cs="Times New Roman"/>
          <w:i/>
          <w:sz w:val="24"/>
          <w:szCs w:val="24"/>
          <w:lang w:val="en-US"/>
        </w:rPr>
        <w:t>Figure 15: Graph Depicting the Effects of Incorporating Gypsum-Enriched Water Hyacinth Chunks on the Growth and Yield Parameters of Groundnut</w:t>
      </w:r>
    </w:p>
    <w:p w14:paraId="37694249" w14:textId="38513CFD" w:rsidR="007A7DBC" w:rsidRPr="007A7DBC" w:rsidRDefault="000D4C8B" w:rsidP="000D4C8B">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Conclusion</w:t>
      </w:r>
      <w:r>
        <w:rPr>
          <w:rFonts w:ascii="Times New Roman" w:eastAsia="Calibri" w:hAnsi="Times New Roman" w:cs="Times New Roman"/>
          <w:b/>
          <w:bCs/>
          <w:sz w:val="24"/>
          <w:szCs w:val="24"/>
          <w:lang w:val="en-US"/>
        </w:rPr>
        <w:t xml:space="preserve">: </w:t>
      </w:r>
      <w:r w:rsidR="007A7DBC" w:rsidRPr="007A7DBC">
        <w:rPr>
          <w:rFonts w:ascii="Times New Roman" w:eastAsia="Calibri" w:hAnsi="Times New Roman" w:cs="Times New Roman"/>
          <w:sz w:val="24"/>
          <w:szCs w:val="24"/>
        </w:rPr>
        <w:t xml:space="preserve">The results indicate that the agronomic growth and yield parameters of the plants are significantly higher in T3 (Water Hyacinth green manure enriched with gypsum) compared to T2 (Water Hyacinth green manure) and T1 (Control). The growth and yield follow the trend: T1 &lt; T2 &lt; T3. Utilization of Water Hyacinth as green manure, particularly when enriched with gypsum, demonstrates significant improvements in plant growth and yield. This treatment also enhances soil structure and water-holding capacity. It promotes the aggregation of soil and prevents from soil compaction which pay way for easy peg penetration and more peg formation. Good agronomical growth parameters are achieved from the experiment. Even though no large amount of dry matter is not produced from the Water Hyacinth, Due to its invasive nature and rapid multiplication rate it can be collected large amount from water bodies. The process of making Water Hyacinth into green manure and enrichment with gypsum is not laborious and time-consuming process. It is the simplest, easiest, and not more time-consuming method comparatively to other methods of composting. It is an environment-friendly method that restores the natural balance and creates a healthy habitat for native plants and animals in our waterways by removing. Compared with </w:t>
      </w:r>
      <w:r w:rsidR="007A7DBC" w:rsidRPr="007A7DBC">
        <w:rPr>
          <w:rFonts w:ascii="Times New Roman" w:eastAsia="Calibri" w:hAnsi="Times New Roman" w:cs="Times New Roman"/>
          <w:sz w:val="24"/>
          <w:szCs w:val="24"/>
        </w:rPr>
        <w:lastRenderedPageBreak/>
        <w:t>other conventional methods, it is cost-effective, economical, and eco-friendly for small-scale farmers.</w:t>
      </w:r>
    </w:p>
    <w:p w14:paraId="5C20C242" w14:textId="77777777" w:rsidR="007A7DBC" w:rsidRPr="007A7DBC" w:rsidRDefault="007A7DBC" w:rsidP="007A7DBC">
      <w:pPr>
        <w:spacing w:after="160" w:line="360" w:lineRule="auto"/>
        <w:rPr>
          <w:rFonts w:ascii="Times New Roman" w:eastAsia="Calibri" w:hAnsi="Times New Roman" w:cs="Times New Roman"/>
          <w:b/>
          <w:sz w:val="24"/>
          <w:szCs w:val="24"/>
          <w:lang w:val="en-US"/>
        </w:rPr>
      </w:pPr>
    </w:p>
    <w:p w14:paraId="6FC952B6" w14:textId="77777777" w:rsidR="007A7DBC" w:rsidRPr="007A7DBC" w:rsidRDefault="007A7DBC" w:rsidP="007A7DBC">
      <w:pPr>
        <w:spacing w:after="160" w:line="360" w:lineRule="auto"/>
        <w:rPr>
          <w:rFonts w:ascii="Times New Roman" w:eastAsia="Calibri" w:hAnsi="Times New Roman" w:cs="Times New Roman"/>
          <w:b/>
          <w:sz w:val="24"/>
          <w:szCs w:val="24"/>
          <w:lang w:val="en-US"/>
        </w:rPr>
      </w:pPr>
      <w:r w:rsidRPr="007A7DBC">
        <w:rPr>
          <w:rFonts w:ascii="Times New Roman" w:eastAsia="Calibri" w:hAnsi="Times New Roman" w:cs="Times New Roman"/>
          <w:b/>
          <w:sz w:val="24"/>
          <w:szCs w:val="24"/>
          <w:lang w:val="en-US"/>
        </w:rPr>
        <w:t>ACKNOWLEDGEMENT</w:t>
      </w:r>
    </w:p>
    <w:p w14:paraId="1977102C" w14:textId="77777777" w:rsidR="007A7DBC" w:rsidRPr="007A7DBC" w:rsidRDefault="007A7DBC" w:rsidP="007A7DBC">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We would like to express our sincere gratitude to all those who helped us complete this research successfully. First and foremost, we would like to thank our mentors, Dr. S. Babu, Associate Professor of Agronomy, and Dr. M. Yuvaraj, Teaching Assistant in SS&amp;AC. We also extend our thanks to our college Dean, </w:t>
      </w:r>
      <w:bookmarkStart w:id="6" w:name="_Hlk172838962"/>
      <w:r w:rsidRPr="007A7DBC">
        <w:rPr>
          <w:rFonts w:ascii="Times New Roman" w:eastAsia="Calibri" w:hAnsi="Times New Roman" w:cs="Times New Roman"/>
          <w:kern w:val="2"/>
          <w:sz w:val="24"/>
          <w:szCs w:val="24"/>
        </w:rPr>
        <w:t>Dr. S. Manickam, Professor of Agronomy</w:t>
      </w:r>
      <w:bookmarkEnd w:id="6"/>
      <w:r w:rsidRPr="007A7DBC">
        <w:rPr>
          <w:rFonts w:ascii="Times New Roman" w:eastAsia="Calibri" w:hAnsi="Times New Roman" w:cs="Times New Roman"/>
          <w:kern w:val="2"/>
          <w:sz w:val="24"/>
          <w:szCs w:val="24"/>
        </w:rPr>
        <w:t>, and our Year Coordinators, Dr. K. Anandhi, Assistant Professor of Crop Physiology, and Dr. V. Arunkumar, Assistant Professor SS&amp;AC as well as to our Ward Councillors, Dr. S. Angles, Professor of Agricultural Economics, and Dr. S. Manickam, Professor of Agronomy. We would also like to extend our sincere thanks to my beloved parents, our supportive classmates and friends.</w:t>
      </w:r>
    </w:p>
    <w:p w14:paraId="07B42BCC" w14:textId="77777777" w:rsidR="007A7DBC" w:rsidRPr="007A7DBC" w:rsidRDefault="007A7DBC" w:rsidP="007A7DBC">
      <w:pPr>
        <w:spacing w:after="160" w:line="360" w:lineRule="auto"/>
        <w:rPr>
          <w:rFonts w:ascii="Times New Roman" w:eastAsia="Calibri" w:hAnsi="Times New Roman" w:cs="Times New Roman"/>
          <w:b/>
          <w:bCs/>
          <w:sz w:val="24"/>
          <w:szCs w:val="24"/>
          <w:lang w:val="en-US"/>
        </w:rPr>
      </w:pPr>
    </w:p>
    <w:p w14:paraId="2600F359" w14:textId="77777777" w:rsidR="007A7DBC" w:rsidRPr="007A7DBC" w:rsidRDefault="007A7DBC" w:rsidP="007A7DBC">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REFFERENCE</w:t>
      </w:r>
    </w:p>
    <w:p w14:paraId="0D8466B1"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Abdalla, M. A., &amp; Elballah, M. M. A. (2015). Utilization of composted bagasse, water hyacinth and banana waste in reclamation of desert soils. </w:t>
      </w:r>
      <w:r w:rsidRPr="007A7DBC">
        <w:rPr>
          <w:rFonts w:ascii="Times New Roman" w:eastAsia="Calibri" w:hAnsi="Times New Roman" w:cs="Times New Roman"/>
          <w:i/>
          <w:iCs/>
          <w:kern w:val="2"/>
          <w:sz w:val="24"/>
          <w:szCs w:val="24"/>
        </w:rPr>
        <w:t>DCG Report</w:t>
      </w:r>
      <w:r w:rsidRPr="007A7DBC">
        <w:rPr>
          <w:rFonts w:ascii="Times New Roman" w:eastAsia="Calibri" w:hAnsi="Times New Roman" w:cs="Times New Roman"/>
          <w:kern w:val="2"/>
          <w:sz w:val="24"/>
          <w:szCs w:val="24"/>
        </w:rPr>
        <w:t>, No. 76.</w:t>
      </w:r>
    </w:p>
    <w:p w14:paraId="2B64411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Abdelsabour, M.F. (2010). Water hyacinth: Available and renewable resource. Electronic Journal of Environmental Agriculture and Food Chemistry. 9(11): 1746-1759.</w:t>
      </w:r>
    </w:p>
    <w:p w14:paraId="40229A7A"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Agbede, T.M., Ojeniyi, S.O. and Adeyemo, A.J. (2008). Effect of poultry manure on soil physical and chemical properties, growth and grain yield of sorghum in southwest, Nigeria. American-Eurasian Journal of Sustainable Agriculture. 2(1): 72-77.</w:t>
      </w:r>
    </w:p>
    <w:p w14:paraId="0A8D02DB"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Akinbile C. O.  and  Yusoff M. S. (2012), ‘Assessing water hyacinth (Eichhornia crassipes) and lettuce (Pistia  stratiotes)  effectiveness  in  Aquaculture  wastewater  treatment’,  International  Journal  of Phytoremediation, 14(1), pp. 201-211.</w:t>
      </w:r>
    </w:p>
    <w:p w14:paraId="5EB33870"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Awuah E., Peprah O. M., Lubberding H.J.and  Gijzen H. J. (2004), 'Comparative performance studies of water  lettuce,  duck  weed  and  algal  based  stabilization  ponds  using  low  strength  sewage’,  Journal  of toxicology and Environmental health,67(1), p. 1727-1739.</w:t>
      </w:r>
    </w:p>
    <w:p w14:paraId="1C891953"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lastRenderedPageBreak/>
        <w:t xml:space="preserve">Azam, F., Malik, K. A., &amp; Sajjad, M. I. (1985). </w:t>
      </w:r>
      <w:r w:rsidRPr="007A7DBC">
        <w:rPr>
          <w:rFonts w:ascii="Times New Roman" w:eastAsia="Calibri" w:hAnsi="Times New Roman" w:cs="Times New Roman"/>
          <w:kern w:val="2"/>
          <w:sz w:val="24"/>
          <w:szCs w:val="24"/>
        </w:rPr>
        <w:t xml:space="preserve">Transformations in soil and availability to plants of 15N applied as inorganic fertilizer and legume residues. </w:t>
      </w:r>
      <w:r w:rsidRPr="007A7DBC">
        <w:rPr>
          <w:rFonts w:ascii="Times New Roman" w:eastAsia="Calibri" w:hAnsi="Times New Roman" w:cs="Times New Roman"/>
          <w:i/>
          <w:iCs/>
          <w:kern w:val="2"/>
          <w:sz w:val="24"/>
          <w:szCs w:val="24"/>
        </w:rPr>
        <w:t>Plant and Soil</w:t>
      </w:r>
      <w:r w:rsidRPr="007A7DBC">
        <w:rPr>
          <w:rFonts w:ascii="Times New Roman" w:eastAsia="Calibri" w:hAnsi="Times New Roman" w:cs="Times New Roman"/>
          <w:kern w:val="2"/>
          <w:sz w:val="24"/>
          <w:szCs w:val="24"/>
        </w:rPr>
        <w:t xml:space="preserve">, 86(1), 3-13. </w:t>
      </w:r>
      <w:hyperlink r:id="rId20" w:tgtFrame="_new" w:history="1">
        <w:r w:rsidRPr="007A7DBC">
          <w:rPr>
            <w:rFonts w:ascii="Times New Roman" w:eastAsia="Calibri" w:hAnsi="Times New Roman" w:cs="Times New Roman"/>
            <w:color w:val="0563C1"/>
            <w:kern w:val="2"/>
            <w:sz w:val="24"/>
            <w:szCs w:val="24"/>
            <w:u w:val="single"/>
          </w:rPr>
          <w:t>https://doi.org/10.1007/BF02185020</w:t>
        </w:r>
      </w:hyperlink>
      <w:r w:rsidRPr="007A7DBC">
        <w:rPr>
          <w:rFonts w:ascii="Times New Roman" w:eastAsia="Calibri" w:hAnsi="Times New Roman" w:cs="Times New Roman"/>
          <w:kern w:val="2"/>
          <w:sz w:val="24"/>
          <w:szCs w:val="24"/>
        </w:rPr>
        <w:t>.</w:t>
      </w:r>
    </w:p>
    <w:p w14:paraId="529D4990"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Balasubramanian, D., Arunachalam, K., Arunachalam, A. and Das, A.K. (2013). Effect of water hyacinth (Eichhornia crassipes) mulch on soil microbial properties in lowland rainfed rice- based agricultural system in northeast India. Agric Res. 2(3): 246-257. DOI 10.1007/s40003-013-0073-7.</w:t>
      </w:r>
    </w:p>
    <w:p w14:paraId="771BECE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Basak, M. N. (1948). </w:t>
      </w:r>
      <w:r w:rsidRPr="007A7DBC">
        <w:rPr>
          <w:rFonts w:ascii="Times New Roman" w:eastAsia="Calibri" w:hAnsi="Times New Roman" w:cs="Times New Roman"/>
          <w:i/>
          <w:iCs/>
          <w:kern w:val="2"/>
          <w:sz w:val="24"/>
          <w:szCs w:val="24"/>
        </w:rPr>
        <w:t>Water hyacinth compost</w:t>
      </w:r>
      <w:r w:rsidRPr="007A7DBC">
        <w:rPr>
          <w:rFonts w:ascii="Times New Roman" w:eastAsia="Calibri" w:hAnsi="Times New Roman" w:cs="Times New Roman"/>
          <w:kern w:val="2"/>
          <w:sz w:val="24"/>
          <w:szCs w:val="24"/>
        </w:rPr>
        <w:t>. Alipore: West Bengal Govt. Press.</w:t>
      </w:r>
    </w:p>
    <w:p w14:paraId="055D5B94"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Bates, R. P., &amp; Hentges, J. F. (1976). Aquatic weeds - Eradicate or cultivate? </w:t>
      </w:r>
      <w:r w:rsidRPr="007A7DBC">
        <w:rPr>
          <w:rFonts w:ascii="Times New Roman" w:eastAsia="Calibri" w:hAnsi="Times New Roman" w:cs="Times New Roman"/>
          <w:i/>
          <w:iCs/>
          <w:kern w:val="2"/>
          <w:sz w:val="24"/>
          <w:szCs w:val="24"/>
        </w:rPr>
        <w:t>Economic Botany</w:t>
      </w:r>
      <w:r w:rsidRPr="007A7DBC">
        <w:rPr>
          <w:rFonts w:ascii="Times New Roman" w:eastAsia="Calibri" w:hAnsi="Times New Roman" w:cs="Times New Roman"/>
          <w:kern w:val="2"/>
          <w:sz w:val="24"/>
          <w:szCs w:val="24"/>
        </w:rPr>
        <w:t>, 30(1), 39-50.</w:t>
      </w:r>
    </w:p>
    <w:p w14:paraId="698EECA5"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Beesigamukama, D., Tumuhairwe, J. B., Muoma, J., John, M., Maingi, J., Ombori, O., Mukaminega, D., Nakanwagi, J., &amp; Amoding, A. (2018). Improving water hyacinth-based compost for crop production. </w:t>
      </w:r>
      <w:r w:rsidRPr="007A7DBC">
        <w:rPr>
          <w:rFonts w:ascii="Times New Roman" w:eastAsia="Calibri" w:hAnsi="Times New Roman" w:cs="Times New Roman"/>
          <w:i/>
          <w:iCs/>
          <w:kern w:val="2"/>
          <w:sz w:val="24"/>
          <w:szCs w:val="24"/>
        </w:rPr>
        <w:t>Journal of Agricultural Science and Food Technology</w:t>
      </w:r>
      <w:r w:rsidRPr="007A7DBC">
        <w:rPr>
          <w:rFonts w:ascii="Times New Roman" w:eastAsia="Calibri" w:hAnsi="Times New Roman" w:cs="Times New Roman"/>
          <w:kern w:val="2"/>
          <w:sz w:val="24"/>
          <w:szCs w:val="24"/>
        </w:rPr>
        <w:t>, 4(3), 52-63.</w:t>
      </w:r>
    </w:p>
    <w:p w14:paraId="2B195268"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Bhattacharya A and Kumar P  (2010),  ‘Water hyacinth as a  potential biofuel crop’, Electronic journal of Environmental, Agriculture and Food Chemistry, 9(1), pp. 112-122. </w:t>
      </w:r>
    </w:p>
    <w:p w14:paraId="057B18C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Biswas, K., &amp; Calder, C. C. (1954). </w:t>
      </w:r>
      <w:r w:rsidRPr="007A7DBC">
        <w:rPr>
          <w:rFonts w:ascii="Times New Roman" w:eastAsia="Calibri" w:hAnsi="Times New Roman" w:cs="Times New Roman"/>
          <w:i/>
          <w:iCs/>
          <w:kern w:val="2"/>
          <w:sz w:val="24"/>
          <w:szCs w:val="24"/>
        </w:rPr>
        <w:t>Handbook of common water and marsh plants in India and Burma</w:t>
      </w:r>
      <w:r w:rsidRPr="007A7DBC">
        <w:rPr>
          <w:rFonts w:ascii="Times New Roman" w:eastAsia="Calibri" w:hAnsi="Times New Roman" w:cs="Times New Roman"/>
          <w:kern w:val="2"/>
          <w:sz w:val="24"/>
          <w:szCs w:val="24"/>
        </w:rPr>
        <w:t>. Health Bulletin, 24.</w:t>
      </w:r>
    </w:p>
    <w:p w14:paraId="5E735314"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Burton, J., van Oosterhout, E., Ensbey, R., &amp; Julien, M. (2010). </w:t>
      </w:r>
      <w:r w:rsidRPr="007A7DBC">
        <w:rPr>
          <w:rFonts w:ascii="Times New Roman" w:eastAsia="Calibri" w:hAnsi="Times New Roman" w:cs="Times New Roman"/>
          <w:i/>
          <w:iCs/>
          <w:kern w:val="2"/>
          <w:sz w:val="24"/>
          <w:szCs w:val="24"/>
        </w:rPr>
        <w:t>Water hyacinth (Pontederia crassipes): Weed of national significance</w:t>
      </w:r>
      <w:r w:rsidRPr="007A7DBC">
        <w:rPr>
          <w:rFonts w:ascii="Times New Roman" w:eastAsia="Calibri" w:hAnsi="Times New Roman" w:cs="Times New Roman"/>
          <w:kern w:val="2"/>
          <w:sz w:val="24"/>
          <w:szCs w:val="24"/>
        </w:rPr>
        <w:t>. Department of Primary Industries, NSW, Australia.</w:t>
      </w:r>
    </w:p>
    <w:p w14:paraId="0947019B"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Cerveira Junior, W. R., &amp; Carvalho, L. B. (2019). Control of water hyacinth: A short review. </w:t>
      </w:r>
      <w:r w:rsidRPr="007A7DBC">
        <w:rPr>
          <w:rFonts w:ascii="Times New Roman" w:eastAsia="Calibri" w:hAnsi="Times New Roman" w:cs="Times New Roman"/>
          <w:i/>
          <w:iCs/>
          <w:kern w:val="2"/>
          <w:sz w:val="24"/>
          <w:szCs w:val="24"/>
        </w:rPr>
        <w:t>Communications in Plant Sciences</w:t>
      </w:r>
      <w:r w:rsidRPr="007A7DBC">
        <w:rPr>
          <w:rFonts w:ascii="Times New Roman" w:eastAsia="Calibri" w:hAnsi="Times New Roman" w:cs="Times New Roman"/>
          <w:kern w:val="2"/>
          <w:sz w:val="24"/>
          <w:szCs w:val="24"/>
        </w:rPr>
        <w:t>, 9(1), 129-132. https://doi.org/10.26814/cps2019021.</w:t>
      </w:r>
    </w:p>
    <w:p w14:paraId="04155AE6"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Chang, J. I., &amp; Chen, Y. J. (2010). Effects of bulking agents on food waste composting. </w:t>
      </w:r>
      <w:r w:rsidRPr="007A7DBC">
        <w:rPr>
          <w:rFonts w:ascii="Times New Roman" w:eastAsia="Calibri" w:hAnsi="Times New Roman" w:cs="Times New Roman"/>
          <w:i/>
          <w:iCs/>
          <w:kern w:val="2"/>
          <w:sz w:val="24"/>
          <w:szCs w:val="24"/>
        </w:rPr>
        <w:t>Bioresource Technology</w:t>
      </w:r>
      <w:r w:rsidRPr="007A7DBC">
        <w:rPr>
          <w:rFonts w:ascii="Times New Roman" w:eastAsia="Calibri" w:hAnsi="Times New Roman" w:cs="Times New Roman"/>
          <w:kern w:val="2"/>
          <w:sz w:val="24"/>
          <w:szCs w:val="24"/>
        </w:rPr>
        <w:t>, 101, 5917-5924. https://doi.org/10.3923/ja.2002.64.65.</w:t>
      </w:r>
    </w:p>
    <w:p w14:paraId="424CD6E3"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Chintanwar Y. D., Batra P.,  Kumar V.,  Gour R., Chorey S., Yeole N. and  Kumar R. (2016), ‘Grey water treatment  and  management  :  the  potential  of  greywater  systems  to aid  sustainable  water  management’, Journal of Research in Engineering and Applied Sciences, 1(3), pp.141-147.</w:t>
      </w:r>
    </w:p>
    <w:p w14:paraId="18DC982F"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Dai, L., Zhang, G., Yu, Z., Ding, H., Xu, Y., &amp; Zhang, Z. (2019). </w:t>
      </w:r>
      <w:r w:rsidRPr="007A7DBC">
        <w:rPr>
          <w:rFonts w:ascii="Times New Roman" w:eastAsia="Calibri" w:hAnsi="Times New Roman" w:cs="Times New Roman"/>
          <w:kern w:val="2"/>
          <w:sz w:val="24"/>
          <w:szCs w:val="24"/>
        </w:rPr>
        <w:t xml:space="preserve">Effect of drought stress and developmental stages on microbial community structure and diversity in peanut rhizosphere soil. </w:t>
      </w:r>
      <w:r w:rsidRPr="007A7DBC">
        <w:rPr>
          <w:rFonts w:ascii="Times New Roman" w:eastAsia="Calibri" w:hAnsi="Times New Roman" w:cs="Times New Roman"/>
          <w:i/>
          <w:iCs/>
          <w:kern w:val="2"/>
          <w:sz w:val="24"/>
          <w:szCs w:val="24"/>
        </w:rPr>
        <w:t>International Journal of Molecular Sciences</w:t>
      </w:r>
      <w:r w:rsidRPr="007A7DBC">
        <w:rPr>
          <w:rFonts w:ascii="Times New Roman" w:eastAsia="Calibri" w:hAnsi="Times New Roman" w:cs="Times New Roman"/>
          <w:kern w:val="2"/>
          <w:sz w:val="24"/>
          <w:szCs w:val="24"/>
        </w:rPr>
        <w:t>, 20(9), 2265.</w:t>
      </w:r>
    </w:p>
    <w:p w14:paraId="61C7151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lastRenderedPageBreak/>
        <w:t xml:space="preserve">Dhal, G. C., Singh, W. R., Khwairakpam, M., &amp; Kalamdhad, A. S. (2012). </w:t>
      </w:r>
      <w:r w:rsidRPr="007A7DBC">
        <w:rPr>
          <w:rFonts w:ascii="Times New Roman" w:eastAsia="Calibri" w:hAnsi="Times New Roman" w:cs="Times New Roman"/>
          <w:kern w:val="2"/>
          <w:sz w:val="24"/>
          <w:szCs w:val="24"/>
        </w:rPr>
        <w:t xml:space="preserve">Composting of water hyacinth using sawdust/rice straw as a bulking agent. </w:t>
      </w:r>
      <w:r w:rsidRPr="007A7DBC">
        <w:rPr>
          <w:rFonts w:ascii="Times New Roman" w:eastAsia="Calibri" w:hAnsi="Times New Roman" w:cs="Times New Roman"/>
          <w:i/>
          <w:iCs/>
          <w:kern w:val="2"/>
          <w:sz w:val="24"/>
          <w:szCs w:val="24"/>
        </w:rPr>
        <w:t>International Journal of Environmental Sciences</w:t>
      </w:r>
      <w:r w:rsidRPr="007A7DBC">
        <w:rPr>
          <w:rFonts w:ascii="Times New Roman" w:eastAsia="Calibri" w:hAnsi="Times New Roman" w:cs="Times New Roman"/>
          <w:kern w:val="2"/>
          <w:sz w:val="24"/>
          <w:szCs w:val="24"/>
        </w:rPr>
        <w:t>, 2(3), 1223-1238.</w:t>
      </w:r>
    </w:p>
    <w:p w14:paraId="2D821C22"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Dixit A., Dixit S.  and Goswamy D.  S. (2011), ‘Process and plants for wastewater remediation  – a  review’, Science reviews and chemical communication, 1(1), 71-77.</w:t>
      </w:r>
    </w:p>
    <w:p w14:paraId="737DFDF8"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Goldhamer, D. A., Grimes, D. W., Culick, S. H., &amp; Munk, D. S. (1994). Cover cropped enhanced water infiltration of a slowly permeable fine sandy loam. </w:t>
      </w:r>
      <w:r w:rsidRPr="007A7DBC">
        <w:rPr>
          <w:rFonts w:ascii="Times New Roman" w:eastAsia="Calibri" w:hAnsi="Times New Roman" w:cs="Times New Roman"/>
          <w:i/>
          <w:iCs/>
          <w:kern w:val="2"/>
          <w:sz w:val="24"/>
          <w:szCs w:val="24"/>
        </w:rPr>
        <w:t>Soil Science Society of America Journal</w:t>
      </w:r>
      <w:r w:rsidRPr="007A7DBC">
        <w:rPr>
          <w:rFonts w:ascii="Times New Roman" w:eastAsia="Calibri" w:hAnsi="Times New Roman" w:cs="Times New Roman"/>
          <w:kern w:val="2"/>
          <w:sz w:val="24"/>
          <w:szCs w:val="24"/>
        </w:rPr>
        <w:t>, 58, 310-315.</w:t>
      </w:r>
    </w:p>
    <w:p w14:paraId="43850715"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Gopal, B. (1987). </w:t>
      </w:r>
      <w:r w:rsidRPr="007A7DBC">
        <w:rPr>
          <w:rFonts w:ascii="Times New Roman" w:eastAsia="Calibri" w:hAnsi="Times New Roman" w:cs="Times New Roman"/>
          <w:i/>
          <w:iCs/>
          <w:kern w:val="2"/>
          <w:sz w:val="24"/>
          <w:szCs w:val="24"/>
        </w:rPr>
        <w:t>Aquatic plant studies 1: Water hyacinth</w:t>
      </w:r>
      <w:r w:rsidRPr="007A7DBC">
        <w:rPr>
          <w:rFonts w:ascii="Times New Roman" w:eastAsia="Calibri" w:hAnsi="Times New Roman" w:cs="Times New Roman"/>
          <w:kern w:val="2"/>
          <w:sz w:val="24"/>
          <w:szCs w:val="24"/>
        </w:rPr>
        <w:t>. Elsevier Publishing.</w:t>
      </w:r>
    </w:p>
    <w:p w14:paraId="616D915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Goyal, S., Dhull, S. K., &amp; Kapoor, K. K. (2005). Chemical and biological changes during composting of different organic wastes and assessment of compost maturity. </w:t>
      </w:r>
      <w:r w:rsidRPr="007A7DBC">
        <w:rPr>
          <w:rFonts w:ascii="Times New Roman" w:eastAsia="Calibri" w:hAnsi="Times New Roman" w:cs="Times New Roman"/>
          <w:i/>
          <w:iCs/>
          <w:kern w:val="2"/>
          <w:sz w:val="24"/>
          <w:szCs w:val="24"/>
        </w:rPr>
        <w:t>Bioresource Technology</w:t>
      </w:r>
      <w:r w:rsidRPr="007A7DBC">
        <w:rPr>
          <w:rFonts w:ascii="Times New Roman" w:eastAsia="Calibri" w:hAnsi="Times New Roman" w:cs="Times New Roman"/>
          <w:kern w:val="2"/>
          <w:sz w:val="24"/>
          <w:szCs w:val="24"/>
        </w:rPr>
        <w:t>, 96(14), 1584-1591.</w:t>
      </w:r>
    </w:p>
    <w:p w14:paraId="436E635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Greenland, D. J. (1994). In </w:t>
      </w:r>
      <w:r w:rsidRPr="007A7DBC">
        <w:rPr>
          <w:rFonts w:ascii="Times New Roman" w:eastAsia="Calibri" w:hAnsi="Times New Roman" w:cs="Times New Roman"/>
          <w:i/>
          <w:iCs/>
          <w:kern w:val="2"/>
          <w:sz w:val="24"/>
          <w:szCs w:val="24"/>
        </w:rPr>
        <w:t>Soil science and sustainable land management in the tropics</w:t>
      </w:r>
      <w:r w:rsidRPr="007A7DBC">
        <w:rPr>
          <w:rFonts w:ascii="Times New Roman" w:eastAsia="Calibri" w:hAnsi="Times New Roman" w:cs="Times New Roman"/>
          <w:kern w:val="2"/>
          <w:sz w:val="24"/>
          <w:szCs w:val="24"/>
        </w:rPr>
        <w:t xml:space="preserve"> (pp. 1-15). CAB International.</w:t>
      </w:r>
    </w:p>
    <w:p w14:paraId="7CE6EB08"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Gunnarsson, C. C., &amp; Petersen, C. M. (2006). Water hyacinth as a resource in agriculture and energy production: A literature review. </w:t>
      </w:r>
      <w:r w:rsidRPr="007A7DBC">
        <w:rPr>
          <w:rFonts w:ascii="Times New Roman" w:eastAsia="Calibri" w:hAnsi="Times New Roman" w:cs="Times New Roman"/>
          <w:i/>
          <w:iCs/>
          <w:kern w:val="2"/>
          <w:sz w:val="24"/>
          <w:szCs w:val="24"/>
        </w:rPr>
        <w:t>Waste Management</w:t>
      </w:r>
      <w:r w:rsidRPr="007A7DBC">
        <w:rPr>
          <w:rFonts w:ascii="Times New Roman" w:eastAsia="Calibri" w:hAnsi="Times New Roman" w:cs="Times New Roman"/>
          <w:kern w:val="2"/>
          <w:sz w:val="24"/>
          <w:szCs w:val="24"/>
        </w:rPr>
        <w:t>, 27, 117-129.</w:t>
      </w:r>
    </w:p>
    <w:p w14:paraId="41D38299"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Headley  T.  R.  and Tanner  C.  C. (2012),  ‘Floating  treatment  wetlands:  an innovative option  for  storm water quality application’, Journal of Environmental Science and technology, 42(21), pp. 261-310. </w:t>
      </w:r>
    </w:p>
    <w:p w14:paraId="6A46089D"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Jiang, C., Li, X., Zou, J., Ren, J., Jin, C., Zhang, H., Yu, H., &amp; Jin, H. (2021). </w:t>
      </w:r>
      <w:r w:rsidRPr="007A7DBC">
        <w:rPr>
          <w:rFonts w:ascii="Times New Roman" w:eastAsia="Calibri" w:hAnsi="Times New Roman" w:cs="Times New Roman"/>
          <w:kern w:val="2"/>
          <w:sz w:val="24"/>
          <w:szCs w:val="24"/>
        </w:rPr>
        <w:t xml:space="preserve">Comparative transcriptome analysis of genes involved in the drought stress response of two peanut (Arachis hypogaea L.) varieties. </w:t>
      </w:r>
      <w:r w:rsidRPr="007A7DBC">
        <w:rPr>
          <w:rFonts w:ascii="Times New Roman" w:eastAsia="Calibri" w:hAnsi="Times New Roman" w:cs="Times New Roman"/>
          <w:i/>
          <w:iCs/>
          <w:kern w:val="2"/>
          <w:sz w:val="24"/>
          <w:szCs w:val="24"/>
        </w:rPr>
        <w:t>BMC Plant Biology</w:t>
      </w:r>
      <w:r w:rsidRPr="007A7DBC">
        <w:rPr>
          <w:rFonts w:ascii="Times New Roman" w:eastAsia="Calibri" w:hAnsi="Times New Roman" w:cs="Times New Roman"/>
          <w:kern w:val="2"/>
          <w:sz w:val="24"/>
          <w:szCs w:val="24"/>
        </w:rPr>
        <w:t>, 21(1), 64.</w:t>
      </w:r>
    </w:p>
    <w:p w14:paraId="1BC5517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Khan, S. and Sarwar, K.S. (2002). Effect of water-hyacinth compost on physical, physico-chemical properties of soil and on rice yield. Journal of Agronomy. 1: 64-65. http://dx.doi.org/ 10.3923/ja.2002.64.65.</w:t>
      </w:r>
    </w:p>
    <w:p w14:paraId="7BD41C2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Lata, N. and Veenapani, D. (2011). Response of water hyacinth manure on growth attributes and yield in Brassica Juncea. Journal of Central European Agriculture. 12(2): 336-343.</w:t>
      </w:r>
    </w:p>
    <w:p w14:paraId="1349B62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Lekshmi, N.C.J.P. and Viveka, S. (2011). Hyacinth compost as a source of nutrient for Abelmoschus esculentus. Indian Journal of Science and Technology. 4(3): 236-239.</w:t>
      </w:r>
    </w:p>
    <w:p w14:paraId="0DDEAF4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Li  F.,  Wichmann  K.  and  Otterpohl  R.  (2009),  ‘Review  of  technological  approaches  for  greywater treatment and reuse’, Science of the total environment, 407(1), pp. 3439-3449. [4.]    Gupta  P., Roy  S.  and Mahindrakar  A.  B.  (2012),‘Treatment  of  Water </w:t>
      </w:r>
      <w:r w:rsidRPr="007A7DBC">
        <w:rPr>
          <w:rFonts w:ascii="Times New Roman" w:eastAsia="Calibri" w:hAnsi="Times New Roman" w:cs="Times New Roman"/>
          <w:kern w:val="2"/>
          <w:sz w:val="24"/>
          <w:szCs w:val="24"/>
        </w:rPr>
        <w:lastRenderedPageBreak/>
        <w:t xml:space="preserve">Using  Water  Hyacinth,  Water Lettuce and Vetiver Grass - A Review’, Resources and Environment, 2(5), pp. 202-215. </w:t>
      </w:r>
    </w:p>
    <w:p w14:paraId="32F7AD02"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Luo, H., Guo, J., Yu, B., Chen, W., Zhang, H., Zhou, X., Chen, Y., Huang, L., Liu, N., Ren, X., et al. </w:t>
      </w:r>
      <w:r w:rsidRPr="007A7DBC">
        <w:rPr>
          <w:rFonts w:ascii="Times New Roman" w:eastAsia="Calibri" w:hAnsi="Times New Roman" w:cs="Times New Roman"/>
          <w:kern w:val="2"/>
          <w:sz w:val="24"/>
          <w:szCs w:val="24"/>
        </w:rPr>
        <w:t xml:space="preserve">(2021). Construction of ddRADseq-based high-density genetic map and identification of quantitative trait loci for trans-resveratrol content in peanut seeds. </w:t>
      </w:r>
      <w:r w:rsidRPr="007A7DBC">
        <w:rPr>
          <w:rFonts w:ascii="Times New Roman" w:eastAsia="Calibri" w:hAnsi="Times New Roman" w:cs="Times New Roman"/>
          <w:i/>
          <w:iCs/>
          <w:kern w:val="2"/>
          <w:sz w:val="24"/>
          <w:szCs w:val="24"/>
        </w:rPr>
        <w:t>Frontiers in Plant Science</w:t>
      </w:r>
      <w:r w:rsidRPr="007A7DBC">
        <w:rPr>
          <w:rFonts w:ascii="Times New Roman" w:eastAsia="Calibri" w:hAnsi="Times New Roman" w:cs="Times New Roman"/>
          <w:kern w:val="2"/>
          <w:sz w:val="24"/>
          <w:szCs w:val="24"/>
        </w:rPr>
        <w:t>, 12, 644402.</w:t>
      </w:r>
    </w:p>
    <w:p w14:paraId="62B4FA9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Maine, M. A., Sune, N. L., Panigatti, M. C., &amp; Pizarro, M. J. (1999). Relationships between water chemistry and macrophyte chemistry in lotic and lentic environments. </w:t>
      </w:r>
      <w:r w:rsidRPr="007A7DBC">
        <w:rPr>
          <w:rFonts w:ascii="Times New Roman" w:eastAsia="Calibri" w:hAnsi="Times New Roman" w:cs="Times New Roman"/>
          <w:i/>
          <w:iCs/>
          <w:kern w:val="2"/>
          <w:sz w:val="24"/>
          <w:szCs w:val="24"/>
        </w:rPr>
        <w:t>Archives of Hydrobiology</w:t>
      </w:r>
      <w:r w:rsidRPr="007A7DBC">
        <w:rPr>
          <w:rFonts w:ascii="Times New Roman" w:eastAsia="Calibri" w:hAnsi="Times New Roman" w:cs="Times New Roman"/>
          <w:kern w:val="2"/>
          <w:sz w:val="24"/>
          <w:szCs w:val="24"/>
        </w:rPr>
        <w:t>, 145(2), 129-145.</w:t>
      </w:r>
    </w:p>
    <w:p w14:paraId="53FF77E2"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Majid, F. Z. (1983). </w:t>
      </w:r>
      <w:r w:rsidRPr="007A7DBC">
        <w:rPr>
          <w:rFonts w:ascii="Times New Roman" w:eastAsia="Calibri" w:hAnsi="Times New Roman" w:cs="Times New Roman"/>
          <w:i/>
          <w:iCs/>
          <w:kern w:val="2"/>
          <w:sz w:val="24"/>
          <w:szCs w:val="24"/>
        </w:rPr>
        <w:t>Aquatic weeds and algae: The neglected natural resources of Bangladesh</w:t>
      </w:r>
      <w:r w:rsidRPr="007A7DBC">
        <w:rPr>
          <w:rFonts w:ascii="Times New Roman" w:eastAsia="Calibri" w:hAnsi="Times New Roman" w:cs="Times New Roman"/>
          <w:kern w:val="2"/>
          <w:sz w:val="24"/>
          <w:szCs w:val="24"/>
        </w:rPr>
        <w:t xml:space="preserve"> (Booklet).</w:t>
      </w:r>
    </w:p>
    <w:p w14:paraId="0AA6F5F1"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Masaka, J. and Ndhlovu, S. (2007). The effect of different forms of water hyacinth (Eichchornia crassipes) organic fertilizers on leaf growth rate and yield of Rape (Brascica napus). International Journal of Agricultural Research. 2(3): 254- 260.</w:t>
      </w:r>
    </w:p>
    <w:p w14:paraId="4235D40D"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Muktamar, Z., Justisia B. and Setyowati, N. (2016). Quality enhancement of humid tropical soils after application of water hyacinth (Eichornia crassipes) compost. Journal of Agricultural Technology. 12(7.1): 1211-1227.</w:t>
      </w:r>
    </w:p>
    <w:p w14:paraId="2614C4BA"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Calibri" w:eastAsia="Calibri" w:hAnsi="Calibri" w:cs="Times New Roman"/>
          <w:kern w:val="2"/>
          <w:lang w:val="en-US"/>
        </w:rPr>
        <w:t xml:space="preserve"> </w:t>
      </w:r>
      <w:r w:rsidRPr="007A7DBC">
        <w:rPr>
          <w:rFonts w:ascii="Times New Roman" w:eastAsia="Calibri" w:hAnsi="Times New Roman" w:cs="Times New Roman"/>
          <w:kern w:val="2"/>
          <w:sz w:val="24"/>
          <w:szCs w:val="24"/>
        </w:rPr>
        <w:t>Nasrin, A., Khanom, S. and Hossain, S.A. (2019). Effects of vermicompost and compost on soil properties and growth and yield of Kalmi (Ipomoea aquatica Forsk.) in mixed soil. Dhaka University Journal of Biological Sciences. 28(1): 121-129.</w:t>
      </w:r>
    </w:p>
    <w:p w14:paraId="05CBCA6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Ndimele PE, Kumolu-Johnson CA and Anetekhai MA (2011). The invasive aquatic macrophyte, water hyacinth {Eichhornia crassipes (Mart.) Solm-Laubach:Pontedericeae}: problems and prospects. Research Journal of Environmental Sciences 5(6): 509–520</w:t>
      </w:r>
    </w:p>
    <w:p w14:paraId="76214335"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Ndimele PE. 2003. The Prospect of Phytoremediation Of Polluted Natural Wetlands By Inhabiting Aquatic Macrophytes (Water Hyacinth). M.Sc. Thesis, University of Ibdan, Nigeria.</w:t>
      </w:r>
    </w:p>
    <w:p w14:paraId="751C4E5F"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Pera, A., Vallini, G., Sireno, I., Bianchin, M. L., &amp; De Bertoldi, M. (1983). Effect of organic matter on rhizosphere microorganisms and root development of sorghum plants in two different soils. </w:t>
      </w:r>
      <w:r w:rsidRPr="007A7DBC">
        <w:rPr>
          <w:rFonts w:ascii="Times New Roman" w:eastAsia="Calibri" w:hAnsi="Times New Roman" w:cs="Times New Roman"/>
          <w:i/>
          <w:iCs/>
          <w:kern w:val="2"/>
          <w:sz w:val="24"/>
          <w:szCs w:val="24"/>
        </w:rPr>
        <w:t>Plant and Soil</w:t>
      </w:r>
      <w:r w:rsidRPr="007A7DBC">
        <w:rPr>
          <w:rFonts w:ascii="Times New Roman" w:eastAsia="Calibri" w:hAnsi="Times New Roman" w:cs="Times New Roman"/>
          <w:kern w:val="2"/>
          <w:sz w:val="24"/>
          <w:szCs w:val="24"/>
        </w:rPr>
        <w:t>, 74(1), 3-18.</w:t>
      </w:r>
    </w:p>
    <w:p w14:paraId="59F7981C"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Qin  H.,    Zhang  Z.,  Liu  M.,  Liu  H.,  Wang  Y.,  Wen  X.,  Zhang  Y.  </w:t>
      </w:r>
      <w:r w:rsidRPr="007A7DBC">
        <w:rPr>
          <w:rFonts w:ascii="Times New Roman" w:eastAsia="Calibri" w:hAnsi="Times New Roman" w:cs="Times New Roman"/>
          <w:kern w:val="2"/>
          <w:sz w:val="24"/>
          <w:szCs w:val="24"/>
        </w:rPr>
        <w:t>and  Yan  S.  (2016),  ‘Site  test  of phytoremediation of an  open  pond contaminated  withdomestic  sewage  using  water  hyacinth  and water lettuce’, Ecological Engineering, 95(1), pp. 753-762.</w:t>
      </w:r>
    </w:p>
    <w:p w14:paraId="0A933EEB"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lastRenderedPageBreak/>
        <w:t>Rao, K. Narayana and K. Mahadeva Gupta. 1980. From aesthetic to pest (Eichhornia crassipes (Mart) Soms.). Meeting Indian Soc. Weed Sci., Bhubaneswar, India, Abstr. no. 206</w:t>
      </w:r>
    </w:p>
    <w:p w14:paraId="4DE1818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Shaikh,  Sameer  S.  K.  and Younus  S.  K. (2015),  ‘A sustainable  solution  for water  crisis  in  Pusad  city Maharashtra’,  International  Journal on recent  and innovation trends in computing and communication, 3(2), pp. 167-170.</w:t>
      </w:r>
    </w:p>
    <w:p w14:paraId="5F3409AA"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Sivasankari B and Ravindran D.  (2016), ‘A study  on  chemical  analysis  of  water  hyacinth  (Eichornia crassipes) and  water lettuce (Pistia stratiotes),  International Journal of  Innovative Research in  Science and Technology, 5(10), pp. 17566-17570.</w:t>
      </w:r>
    </w:p>
    <w:p w14:paraId="6A6399DE"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Steffen, R. (1979). The value of composted organic matter in building soil fertility. </w:t>
      </w:r>
      <w:r w:rsidRPr="007A7DBC">
        <w:rPr>
          <w:rFonts w:ascii="Times New Roman" w:eastAsia="Calibri" w:hAnsi="Times New Roman" w:cs="Times New Roman"/>
          <w:i/>
          <w:iCs/>
          <w:kern w:val="2"/>
          <w:sz w:val="24"/>
          <w:szCs w:val="24"/>
        </w:rPr>
        <w:t>Compost Science and Land Utilization</w:t>
      </w:r>
      <w:r w:rsidRPr="007A7DBC">
        <w:rPr>
          <w:rFonts w:ascii="Times New Roman" w:eastAsia="Calibri" w:hAnsi="Times New Roman" w:cs="Times New Roman"/>
          <w:kern w:val="2"/>
          <w:sz w:val="24"/>
          <w:szCs w:val="24"/>
        </w:rPr>
        <w:t>, 20, 34-37.</w:t>
      </w:r>
    </w:p>
    <w:p w14:paraId="0A12D50F"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U.S. Environmental Protection Agency. (1988). </w:t>
      </w:r>
      <w:r w:rsidRPr="007A7DBC">
        <w:rPr>
          <w:rFonts w:ascii="Times New Roman" w:eastAsia="Calibri" w:hAnsi="Times New Roman" w:cs="Times New Roman"/>
          <w:i/>
          <w:iCs/>
          <w:kern w:val="2"/>
          <w:sz w:val="24"/>
          <w:szCs w:val="24"/>
        </w:rPr>
        <w:t>Design manual-constructed wetlands and aquatic systems for municipal wastewater treatment</w:t>
      </w:r>
      <w:r w:rsidRPr="007A7DBC">
        <w:rPr>
          <w:rFonts w:ascii="Times New Roman" w:eastAsia="Calibri" w:hAnsi="Times New Roman" w:cs="Times New Roman"/>
          <w:kern w:val="2"/>
          <w:sz w:val="24"/>
          <w:szCs w:val="24"/>
        </w:rPr>
        <w:t xml:space="preserve"> (Report No. EPA/625/1-88/022). Office of Research and Development.</w:t>
      </w:r>
    </w:p>
    <w:p w14:paraId="0F845A26"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Widjajanto, D. W., Honmura, T., &amp; Miyauchi, N. (2002). Nitrogen release from green manure of water hyacinth in rice cropping systems. </w:t>
      </w:r>
      <w:r w:rsidRPr="007A7DBC">
        <w:rPr>
          <w:rFonts w:ascii="Times New Roman" w:eastAsia="Calibri" w:hAnsi="Times New Roman" w:cs="Times New Roman"/>
          <w:i/>
          <w:iCs/>
          <w:kern w:val="2"/>
          <w:sz w:val="24"/>
          <w:szCs w:val="24"/>
        </w:rPr>
        <w:t>Pakistani Journal of Biological Sciences</w:t>
      </w:r>
      <w:r w:rsidRPr="007A7DBC">
        <w:rPr>
          <w:rFonts w:ascii="Times New Roman" w:eastAsia="Calibri" w:hAnsi="Times New Roman" w:cs="Times New Roman"/>
          <w:kern w:val="2"/>
          <w:sz w:val="24"/>
          <w:szCs w:val="24"/>
        </w:rPr>
        <w:t>, 5, 740-743.</w:t>
      </w:r>
    </w:p>
    <w:p w14:paraId="63831209"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Xu, Y., Zhang, D., Dai, L., Ding, H., Ci, D., Qin, F., Zhang, G., &amp; Zhang, Z. (2020). </w:t>
      </w:r>
      <w:r w:rsidRPr="007A7DBC">
        <w:rPr>
          <w:rFonts w:ascii="Times New Roman" w:eastAsia="Calibri" w:hAnsi="Times New Roman" w:cs="Times New Roman"/>
          <w:kern w:val="2"/>
          <w:sz w:val="24"/>
          <w:szCs w:val="24"/>
        </w:rPr>
        <w:t xml:space="preserve">Influence of salt stress on growth of spermosphere bacterial communities in different peanut (Arachis hypogaea L.) cultivars. </w:t>
      </w:r>
      <w:r w:rsidRPr="007A7DBC">
        <w:rPr>
          <w:rFonts w:ascii="Times New Roman" w:eastAsia="Calibri" w:hAnsi="Times New Roman" w:cs="Times New Roman"/>
          <w:i/>
          <w:iCs/>
          <w:kern w:val="2"/>
          <w:sz w:val="24"/>
          <w:szCs w:val="24"/>
        </w:rPr>
        <w:t>International Journal of Molecular Sciences</w:t>
      </w:r>
      <w:r w:rsidRPr="007A7DBC">
        <w:rPr>
          <w:rFonts w:ascii="Times New Roman" w:eastAsia="Calibri" w:hAnsi="Times New Roman" w:cs="Times New Roman"/>
          <w:kern w:val="2"/>
          <w:sz w:val="24"/>
          <w:szCs w:val="24"/>
        </w:rPr>
        <w:t>, 21(6), 2131.</w:t>
      </w:r>
    </w:p>
    <w:p w14:paraId="3657BFE2" w14:textId="77777777" w:rsidR="007A7DBC" w:rsidRPr="007A7DBC" w:rsidRDefault="007A7DBC"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Yang, S., Wang, F., Guo, F., Meng, J. J., Li, X. G., &amp; Wan, S. B. (2015). </w:t>
      </w:r>
      <w:r w:rsidRPr="007A7DBC">
        <w:rPr>
          <w:rFonts w:ascii="Times New Roman" w:eastAsia="Calibri" w:hAnsi="Times New Roman" w:cs="Times New Roman"/>
          <w:kern w:val="2"/>
          <w:sz w:val="24"/>
          <w:szCs w:val="24"/>
        </w:rPr>
        <w:t xml:space="preserve">Calcium contributes to photoprotection and repair of photosystem II in peanut leaves during heat and high irradiance. </w:t>
      </w:r>
      <w:r w:rsidRPr="007A7DBC">
        <w:rPr>
          <w:rFonts w:ascii="Times New Roman" w:eastAsia="Calibri" w:hAnsi="Times New Roman" w:cs="Times New Roman"/>
          <w:i/>
          <w:iCs/>
          <w:kern w:val="2"/>
          <w:sz w:val="24"/>
          <w:szCs w:val="24"/>
        </w:rPr>
        <w:t>Journal of Integrative Plant Biology</w:t>
      </w:r>
      <w:r w:rsidRPr="007A7DBC">
        <w:rPr>
          <w:rFonts w:ascii="Times New Roman" w:eastAsia="Calibri" w:hAnsi="Times New Roman" w:cs="Times New Roman"/>
          <w:kern w:val="2"/>
          <w:sz w:val="24"/>
          <w:szCs w:val="24"/>
        </w:rPr>
        <w:t>, 57(5), 486-495.</w:t>
      </w:r>
    </w:p>
    <w:p w14:paraId="56CCD43A" w14:textId="77777777" w:rsidR="007A7DBC" w:rsidRPr="007A7DBC" w:rsidRDefault="007A7DBC" w:rsidP="007A7DBC">
      <w:pPr>
        <w:rPr>
          <w:rFonts w:ascii="Times New Roman" w:hAnsi="Times New Roman" w:cs="Times New Roman"/>
          <w:sz w:val="24"/>
          <w:szCs w:val="24"/>
        </w:rPr>
      </w:pPr>
    </w:p>
    <w:sectPr w:rsidR="007A7DBC" w:rsidRPr="007A7D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840122"/>
    <w:multiLevelType w:val="hybridMultilevel"/>
    <w:tmpl w:val="A5121A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0954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7E7D"/>
    <w:rsid w:val="000D4C8B"/>
    <w:rsid w:val="00146FC6"/>
    <w:rsid w:val="003103C6"/>
    <w:rsid w:val="003517B9"/>
    <w:rsid w:val="003D0505"/>
    <w:rsid w:val="005C1016"/>
    <w:rsid w:val="007A7DBC"/>
    <w:rsid w:val="008B1871"/>
    <w:rsid w:val="008C3CF2"/>
    <w:rsid w:val="008F0E79"/>
    <w:rsid w:val="009A3378"/>
    <w:rsid w:val="00AB7E7D"/>
    <w:rsid w:val="00B544E1"/>
    <w:rsid w:val="00BA1118"/>
    <w:rsid w:val="00EB6AA1"/>
    <w:rsid w:val="00F05047"/>
    <w:rsid w:val="00F80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166ED"/>
  <w15:chartTrackingRefBased/>
  <w15:docId w15:val="{90966426-6D80-4E57-B63D-531628CF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50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118"/>
    <w:pPr>
      <w:ind w:left="720"/>
      <w:contextualSpacing/>
    </w:pPr>
  </w:style>
  <w:style w:type="paragraph" w:customStyle="1" w:styleId="TableParagraph">
    <w:name w:val="Table Paragraph"/>
    <w:basedOn w:val="Normal"/>
    <w:uiPriority w:val="1"/>
    <w:qFormat/>
    <w:rsid w:val="003D0505"/>
    <w:pPr>
      <w:widowControl w:val="0"/>
      <w:autoSpaceDE w:val="0"/>
      <w:autoSpaceDN w:val="0"/>
      <w:spacing w:after="0" w:line="256" w:lineRule="exact"/>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doi.org/10.1007/BF0218502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3734</Words>
  <Characters>21029</Characters>
  <Application>Microsoft Office Word</Application>
  <DocSecurity>0</DocSecurity>
  <Lines>477</Lines>
  <Paragraphs>217</Paragraphs>
  <ScaleCrop>false</ScaleCrop>
  <Company/>
  <LinksUpToDate>false</LinksUpToDate>
  <CharactersWithSpaces>24546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Rashwin</dc:creator>
  <cp:keywords/>
  <dc:description/>
  <cp:lastModifiedBy>Anto Rashwin</cp:lastModifiedBy>
  <cp:revision>7</cp:revision>
  <dcterms:created xsi:type="dcterms:W3CDTF">2024-11-12T00:20:00Z</dcterms:created>
  <dcterms:modified xsi:type="dcterms:W3CDTF">2024-11-12T00:33:00Z</dcterms:modified>
</cp:coreProperties>
</file>