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29" w:rsidRDefault="00E91F29">
      <w:pPr>
        <w:rPr>
          <w:b/>
          <w:bCs/>
        </w:rPr>
      </w:pPr>
      <w:r>
        <w:rPr>
          <w:b/>
          <w:bCs/>
        </w:rPr>
        <w:t>MAJ-2021-387</w:t>
      </w:r>
    </w:p>
    <w:p w:rsidR="00E91F29" w:rsidRDefault="00E91F29" w:rsidP="00146AB8">
      <w:pPr>
        <w:jc w:val="both"/>
        <w:rPr>
          <w:b/>
          <w:bCs/>
        </w:rPr>
      </w:pPr>
      <w:r>
        <w:rPr>
          <w:b/>
          <w:bCs/>
        </w:rPr>
        <w:t>Recommendations:</w:t>
      </w:r>
      <w:r w:rsidR="00A727E1">
        <w:rPr>
          <w:b/>
          <w:bCs/>
        </w:rPr>
        <w:t xml:space="preserve"> </w:t>
      </w:r>
      <w:r w:rsidRPr="00E91F29">
        <w:t xml:space="preserve">The authors have appropriately revised the MS as per </w:t>
      </w:r>
      <w:r w:rsidR="00146AB8">
        <w:t xml:space="preserve">technical </w:t>
      </w:r>
      <w:r w:rsidRPr="00E91F29">
        <w:t xml:space="preserve">suggestions </w:t>
      </w:r>
      <w:r w:rsidR="00146AB8">
        <w:t xml:space="preserve">given </w:t>
      </w:r>
      <w:r w:rsidRPr="00E91F29">
        <w:t xml:space="preserve">without omission of any. The </w:t>
      </w:r>
      <w:r>
        <w:t xml:space="preserve">Revised </w:t>
      </w:r>
      <w:r w:rsidRPr="00E91F29">
        <w:t>M</w:t>
      </w:r>
      <w:r>
        <w:t>anuscript</w:t>
      </w:r>
      <w:r w:rsidRPr="00E91F29">
        <w:t xml:space="preserve"> is</w:t>
      </w:r>
      <w:r>
        <w:rPr>
          <w:b/>
          <w:bCs/>
        </w:rPr>
        <w:t xml:space="preserve"> </w:t>
      </w:r>
      <w:r w:rsidRPr="00E4771F">
        <w:rPr>
          <w:b/>
          <w:bCs/>
          <w:color w:val="00B050"/>
          <w:u w:val="single"/>
        </w:rPr>
        <w:t>RECOMMENDED TO PUBLISH</w:t>
      </w:r>
    </w:p>
    <w:p w:rsidR="00E91F29" w:rsidRPr="00146AB8" w:rsidRDefault="00146AB8">
      <w:pPr>
        <w:rPr>
          <w:b/>
          <w:bCs/>
          <w:color w:val="FF0000"/>
        </w:rPr>
      </w:pPr>
      <w:r w:rsidRPr="00146AB8">
        <w:rPr>
          <w:b/>
          <w:bCs/>
          <w:color w:val="FF0000"/>
        </w:rPr>
        <w:t>Specific Comments:</w:t>
      </w:r>
      <w:r>
        <w:rPr>
          <w:b/>
          <w:bCs/>
          <w:color w:val="FF0000"/>
        </w:rPr>
        <w:t xml:space="preserve"> </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4535"/>
        <w:gridCol w:w="4410"/>
        <w:gridCol w:w="3870"/>
      </w:tblGrid>
      <w:tr w:rsidR="00B72FE9" w:rsidRPr="00E4771F" w:rsidTr="00E4771F">
        <w:tc>
          <w:tcPr>
            <w:tcW w:w="793" w:type="dxa"/>
            <w:shd w:val="clear" w:color="auto" w:fill="auto"/>
          </w:tcPr>
          <w:p w:rsidR="00B72FE9" w:rsidRPr="00E4771F" w:rsidRDefault="00B72FE9" w:rsidP="004004A5">
            <w:pPr>
              <w:spacing w:after="0" w:line="240" w:lineRule="auto"/>
              <w:rPr>
                <w:b/>
                <w:bCs/>
                <w:sz w:val="20"/>
                <w:szCs w:val="20"/>
              </w:rPr>
            </w:pPr>
            <w:proofErr w:type="spellStart"/>
            <w:r w:rsidRPr="00E4771F">
              <w:rPr>
                <w:b/>
                <w:bCs/>
                <w:sz w:val="20"/>
                <w:szCs w:val="20"/>
              </w:rPr>
              <w:t>Sl</w:t>
            </w:r>
            <w:proofErr w:type="spellEnd"/>
            <w:r w:rsidRPr="00E4771F">
              <w:rPr>
                <w:b/>
                <w:bCs/>
                <w:sz w:val="20"/>
                <w:szCs w:val="20"/>
              </w:rPr>
              <w:t xml:space="preserve"> No. </w:t>
            </w:r>
          </w:p>
        </w:tc>
        <w:tc>
          <w:tcPr>
            <w:tcW w:w="4535" w:type="dxa"/>
            <w:shd w:val="clear" w:color="auto" w:fill="auto"/>
          </w:tcPr>
          <w:p w:rsidR="00B72FE9" w:rsidRPr="00E4771F" w:rsidRDefault="00B72FE9" w:rsidP="004004A5">
            <w:pPr>
              <w:spacing w:after="0" w:line="240" w:lineRule="auto"/>
              <w:jc w:val="center"/>
              <w:rPr>
                <w:b/>
                <w:bCs/>
                <w:sz w:val="20"/>
                <w:szCs w:val="20"/>
              </w:rPr>
            </w:pPr>
            <w:r w:rsidRPr="00E4771F">
              <w:rPr>
                <w:b/>
                <w:bCs/>
                <w:sz w:val="20"/>
                <w:szCs w:val="20"/>
              </w:rPr>
              <w:t xml:space="preserve">Comment </w:t>
            </w:r>
            <w:r w:rsidRPr="00E4771F">
              <w:rPr>
                <w:b/>
                <w:bCs/>
                <w:sz w:val="20"/>
                <w:szCs w:val="20"/>
              </w:rPr>
              <w:t>by Reviewer</w:t>
            </w:r>
          </w:p>
        </w:tc>
        <w:tc>
          <w:tcPr>
            <w:tcW w:w="4410" w:type="dxa"/>
            <w:shd w:val="clear" w:color="auto" w:fill="auto"/>
          </w:tcPr>
          <w:p w:rsidR="00B72FE9" w:rsidRPr="00E4771F" w:rsidRDefault="00B72FE9" w:rsidP="004004A5">
            <w:pPr>
              <w:spacing w:after="0" w:line="240" w:lineRule="auto"/>
              <w:jc w:val="center"/>
              <w:rPr>
                <w:b/>
                <w:bCs/>
                <w:sz w:val="20"/>
                <w:szCs w:val="20"/>
              </w:rPr>
            </w:pPr>
            <w:r w:rsidRPr="00E4771F">
              <w:rPr>
                <w:b/>
                <w:bCs/>
                <w:sz w:val="20"/>
                <w:szCs w:val="20"/>
              </w:rPr>
              <w:t>Reply</w:t>
            </w:r>
          </w:p>
        </w:tc>
        <w:tc>
          <w:tcPr>
            <w:tcW w:w="3870" w:type="dxa"/>
          </w:tcPr>
          <w:p w:rsidR="00B72FE9" w:rsidRPr="00E4771F" w:rsidRDefault="00B72FE9" w:rsidP="004004A5">
            <w:pPr>
              <w:spacing w:after="0" w:line="240" w:lineRule="auto"/>
              <w:jc w:val="center"/>
              <w:rPr>
                <w:b/>
                <w:bCs/>
                <w:sz w:val="20"/>
                <w:szCs w:val="20"/>
              </w:rPr>
            </w:pPr>
            <w:r w:rsidRPr="00E4771F">
              <w:rPr>
                <w:b/>
                <w:bCs/>
                <w:sz w:val="20"/>
                <w:szCs w:val="20"/>
              </w:rPr>
              <w:t>Reviewer Comments addressed by Author</w:t>
            </w:r>
          </w:p>
        </w:tc>
      </w:tr>
      <w:tr w:rsidR="00B72FE9" w:rsidRPr="00E4771F" w:rsidTr="00E4771F">
        <w:tc>
          <w:tcPr>
            <w:tcW w:w="793" w:type="dxa"/>
            <w:shd w:val="clear" w:color="auto" w:fill="auto"/>
          </w:tcPr>
          <w:p w:rsidR="00B72FE9" w:rsidRPr="00E4771F" w:rsidRDefault="00B72FE9" w:rsidP="004004A5">
            <w:pPr>
              <w:spacing w:after="0" w:line="240" w:lineRule="auto"/>
              <w:rPr>
                <w:b/>
                <w:bCs/>
                <w:sz w:val="20"/>
                <w:szCs w:val="20"/>
              </w:rPr>
            </w:pPr>
            <w:r w:rsidRPr="00E4771F">
              <w:rPr>
                <w:b/>
                <w:bCs/>
                <w:sz w:val="20"/>
                <w:szCs w:val="20"/>
              </w:rPr>
              <w:t>1</w:t>
            </w:r>
          </w:p>
        </w:tc>
        <w:tc>
          <w:tcPr>
            <w:tcW w:w="4535" w:type="dxa"/>
            <w:shd w:val="clear" w:color="auto" w:fill="auto"/>
          </w:tcPr>
          <w:p w:rsidR="00B72FE9" w:rsidRPr="00E4771F" w:rsidRDefault="00B72FE9" w:rsidP="004004A5">
            <w:pPr>
              <w:spacing w:after="0" w:line="240" w:lineRule="auto"/>
              <w:rPr>
                <w:sz w:val="20"/>
                <w:szCs w:val="20"/>
              </w:rPr>
            </w:pPr>
            <w:r w:rsidRPr="00E4771F">
              <w:rPr>
                <w:sz w:val="20"/>
                <w:szCs w:val="20"/>
              </w:rPr>
              <w:t xml:space="preserve">In addition to Fig.2a, a schematic illustration of the eIF4G locus and regions of focus for RTSV reaction and </w:t>
            </w:r>
            <w:proofErr w:type="spellStart"/>
            <w:r w:rsidRPr="00E4771F">
              <w:rPr>
                <w:sz w:val="20"/>
                <w:szCs w:val="20"/>
              </w:rPr>
              <w:t>gRNA</w:t>
            </w:r>
            <w:proofErr w:type="spellEnd"/>
            <w:r w:rsidRPr="00E4771F">
              <w:rPr>
                <w:sz w:val="20"/>
                <w:szCs w:val="20"/>
              </w:rPr>
              <w:t xml:space="preserve"> target may be depicted for better understanding by the readers.</w:t>
            </w:r>
          </w:p>
        </w:tc>
        <w:tc>
          <w:tcPr>
            <w:tcW w:w="4410" w:type="dxa"/>
            <w:shd w:val="clear" w:color="auto" w:fill="auto"/>
          </w:tcPr>
          <w:p w:rsidR="00B72FE9" w:rsidRPr="00E4771F" w:rsidRDefault="00B72FE9" w:rsidP="004004A5">
            <w:pPr>
              <w:spacing w:after="0" w:line="240" w:lineRule="auto"/>
              <w:rPr>
                <w:bCs/>
                <w:sz w:val="20"/>
                <w:szCs w:val="20"/>
              </w:rPr>
            </w:pPr>
            <w:r w:rsidRPr="00E4771F">
              <w:rPr>
                <w:bCs/>
                <w:sz w:val="20"/>
                <w:szCs w:val="20"/>
              </w:rPr>
              <w:t xml:space="preserve">A new figure 1 is added showing the locus highlighting </w:t>
            </w:r>
            <w:proofErr w:type="spellStart"/>
            <w:r w:rsidRPr="00E4771F">
              <w:rPr>
                <w:bCs/>
                <w:sz w:val="20"/>
                <w:szCs w:val="20"/>
              </w:rPr>
              <w:t>protospacer</w:t>
            </w:r>
            <w:proofErr w:type="spellEnd"/>
            <w:r w:rsidRPr="00E4771F">
              <w:rPr>
                <w:bCs/>
                <w:sz w:val="20"/>
                <w:szCs w:val="20"/>
              </w:rPr>
              <w:t xml:space="preserve"> (</w:t>
            </w:r>
            <w:proofErr w:type="spellStart"/>
            <w:r w:rsidRPr="00E4771F">
              <w:rPr>
                <w:bCs/>
                <w:sz w:val="20"/>
                <w:szCs w:val="20"/>
              </w:rPr>
              <w:t>sgRNA</w:t>
            </w:r>
            <w:proofErr w:type="spellEnd"/>
            <w:r w:rsidRPr="00E4771F">
              <w:rPr>
                <w:bCs/>
                <w:sz w:val="20"/>
                <w:szCs w:val="20"/>
              </w:rPr>
              <w:t xml:space="preserve">) and </w:t>
            </w:r>
            <w:proofErr w:type="spellStart"/>
            <w:r w:rsidRPr="00E4771F">
              <w:rPr>
                <w:bCs/>
                <w:sz w:val="20"/>
                <w:szCs w:val="20"/>
              </w:rPr>
              <w:t>protospacer</w:t>
            </w:r>
            <w:proofErr w:type="spellEnd"/>
            <w:r w:rsidRPr="00E4771F">
              <w:rPr>
                <w:bCs/>
                <w:sz w:val="20"/>
                <w:szCs w:val="20"/>
              </w:rPr>
              <w:t xml:space="preserve"> adjacent motif (PAM).</w:t>
            </w:r>
          </w:p>
        </w:tc>
        <w:tc>
          <w:tcPr>
            <w:tcW w:w="3870" w:type="dxa"/>
          </w:tcPr>
          <w:p w:rsidR="00B72FE9" w:rsidRPr="00E4771F" w:rsidRDefault="00B72FE9" w:rsidP="00B72FE9">
            <w:pPr>
              <w:spacing w:after="0" w:line="240" w:lineRule="auto"/>
              <w:jc w:val="center"/>
              <w:rPr>
                <w:bCs/>
                <w:sz w:val="26"/>
                <w:szCs w:val="26"/>
              </w:rPr>
            </w:pPr>
          </w:p>
          <w:p w:rsidR="00B72FE9" w:rsidRPr="00E4771F" w:rsidRDefault="00E4771F" w:rsidP="00B72FE9">
            <w:pPr>
              <w:spacing w:after="0" w:line="240" w:lineRule="auto"/>
              <w:jc w:val="center"/>
              <w:rPr>
                <w:b/>
                <w:sz w:val="26"/>
                <w:szCs w:val="26"/>
              </w:rPr>
            </w:pPr>
            <w:r w:rsidRPr="00E4771F">
              <w:rPr>
                <w:b/>
                <w:sz w:val="26"/>
                <w:szCs w:val="26"/>
              </w:rPr>
              <w:sym w:font="Wingdings" w:char="F0FE"/>
            </w:r>
          </w:p>
        </w:tc>
      </w:tr>
      <w:tr w:rsidR="00B72FE9" w:rsidRPr="00E4771F" w:rsidTr="00E4771F">
        <w:tc>
          <w:tcPr>
            <w:tcW w:w="793" w:type="dxa"/>
            <w:shd w:val="clear" w:color="auto" w:fill="auto"/>
          </w:tcPr>
          <w:p w:rsidR="00B72FE9" w:rsidRPr="00E4771F" w:rsidRDefault="00B72FE9" w:rsidP="004004A5">
            <w:pPr>
              <w:spacing w:after="0" w:line="240" w:lineRule="auto"/>
              <w:rPr>
                <w:b/>
                <w:bCs/>
                <w:sz w:val="20"/>
                <w:szCs w:val="20"/>
              </w:rPr>
            </w:pPr>
            <w:r w:rsidRPr="00E4771F">
              <w:rPr>
                <w:b/>
                <w:bCs/>
                <w:sz w:val="20"/>
                <w:szCs w:val="20"/>
              </w:rPr>
              <w:t>2</w:t>
            </w:r>
          </w:p>
        </w:tc>
        <w:tc>
          <w:tcPr>
            <w:tcW w:w="4535" w:type="dxa"/>
            <w:shd w:val="clear" w:color="auto" w:fill="auto"/>
          </w:tcPr>
          <w:p w:rsidR="00B72FE9" w:rsidRPr="00E4771F" w:rsidRDefault="00B72FE9" w:rsidP="004004A5">
            <w:pPr>
              <w:spacing w:after="0" w:line="240" w:lineRule="auto"/>
              <w:rPr>
                <w:sz w:val="20"/>
                <w:szCs w:val="20"/>
              </w:rPr>
            </w:pPr>
            <w:r w:rsidRPr="00E4771F">
              <w:rPr>
                <w:sz w:val="20"/>
                <w:szCs w:val="20"/>
              </w:rPr>
              <w:t>In Table 3, selective T</w:t>
            </w:r>
            <w:r w:rsidRPr="00E4771F">
              <w:rPr>
                <w:sz w:val="20"/>
                <w:szCs w:val="20"/>
                <w:vertAlign w:val="subscript"/>
              </w:rPr>
              <w:t>0</w:t>
            </w:r>
            <w:r w:rsidRPr="00E4771F">
              <w:rPr>
                <w:sz w:val="20"/>
                <w:szCs w:val="20"/>
              </w:rPr>
              <w:t xml:space="preserve"> events with detected mutations and corresponding changes at the protein levels could have been elaborated with visible </w:t>
            </w:r>
            <w:proofErr w:type="spellStart"/>
            <w:r w:rsidRPr="00E4771F">
              <w:rPr>
                <w:sz w:val="20"/>
                <w:szCs w:val="20"/>
              </w:rPr>
              <w:t>gRNA</w:t>
            </w:r>
            <w:proofErr w:type="spellEnd"/>
            <w:r w:rsidRPr="00E4771F">
              <w:rPr>
                <w:sz w:val="20"/>
                <w:szCs w:val="20"/>
              </w:rPr>
              <w:t xml:space="preserve"> targets along with the Protospacer adjacent motif (PAM) sequences.</w:t>
            </w:r>
          </w:p>
        </w:tc>
        <w:tc>
          <w:tcPr>
            <w:tcW w:w="4410" w:type="dxa"/>
            <w:shd w:val="clear" w:color="auto" w:fill="auto"/>
          </w:tcPr>
          <w:p w:rsidR="00B72FE9" w:rsidRPr="00E4771F" w:rsidRDefault="00B72FE9" w:rsidP="004004A5">
            <w:pPr>
              <w:spacing w:after="0" w:line="240" w:lineRule="auto"/>
              <w:rPr>
                <w:bCs/>
                <w:sz w:val="20"/>
                <w:szCs w:val="20"/>
              </w:rPr>
            </w:pPr>
            <w:r w:rsidRPr="00E4771F">
              <w:rPr>
                <w:bCs/>
                <w:sz w:val="20"/>
                <w:szCs w:val="20"/>
              </w:rPr>
              <w:t>The PAM sequence is underlined in the wild type sequence. The predicted amino acid sequence is given in parenthesis and the modified residue is in red font. Similarly, substituted nucleotide is also given in red font.</w:t>
            </w:r>
          </w:p>
        </w:tc>
        <w:tc>
          <w:tcPr>
            <w:tcW w:w="3870" w:type="dxa"/>
          </w:tcPr>
          <w:p w:rsidR="00502319" w:rsidRPr="00E4771F" w:rsidRDefault="00502319" w:rsidP="00502319">
            <w:pPr>
              <w:spacing w:after="0" w:line="240" w:lineRule="auto"/>
              <w:jc w:val="center"/>
              <w:rPr>
                <w:b/>
                <w:sz w:val="26"/>
                <w:szCs w:val="26"/>
              </w:rPr>
            </w:pPr>
          </w:p>
          <w:p w:rsidR="00B72FE9" w:rsidRPr="00E4771F" w:rsidRDefault="00E4771F" w:rsidP="00502319">
            <w:pPr>
              <w:spacing w:after="0" w:line="240" w:lineRule="auto"/>
              <w:jc w:val="center"/>
              <w:rPr>
                <w:bCs/>
                <w:sz w:val="26"/>
                <w:szCs w:val="26"/>
              </w:rPr>
            </w:pPr>
            <w:r w:rsidRPr="00E4771F">
              <w:rPr>
                <w:b/>
                <w:sz w:val="26"/>
                <w:szCs w:val="26"/>
              </w:rPr>
              <w:sym w:font="Wingdings" w:char="F0FE"/>
            </w:r>
          </w:p>
        </w:tc>
      </w:tr>
      <w:tr w:rsidR="00B72FE9" w:rsidRPr="00E4771F" w:rsidTr="00E4771F">
        <w:tc>
          <w:tcPr>
            <w:tcW w:w="793" w:type="dxa"/>
            <w:shd w:val="clear" w:color="auto" w:fill="auto"/>
          </w:tcPr>
          <w:p w:rsidR="00B72FE9" w:rsidRPr="00E4771F" w:rsidRDefault="00B72FE9" w:rsidP="004004A5">
            <w:pPr>
              <w:spacing w:after="0" w:line="240" w:lineRule="auto"/>
              <w:rPr>
                <w:b/>
                <w:bCs/>
                <w:sz w:val="20"/>
                <w:szCs w:val="20"/>
              </w:rPr>
            </w:pPr>
            <w:r w:rsidRPr="00E4771F">
              <w:rPr>
                <w:b/>
                <w:bCs/>
                <w:sz w:val="20"/>
                <w:szCs w:val="20"/>
              </w:rPr>
              <w:t>3</w:t>
            </w:r>
          </w:p>
        </w:tc>
        <w:tc>
          <w:tcPr>
            <w:tcW w:w="4535" w:type="dxa"/>
            <w:shd w:val="clear" w:color="auto" w:fill="auto"/>
          </w:tcPr>
          <w:p w:rsidR="00B72FE9" w:rsidRPr="00E4771F" w:rsidRDefault="00B72FE9" w:rsidP="004004A5">
            <w:pPr>
              <w:spacing w:after="0" w:line="240" w:lineRule="auto"/>
              <w:rPr>
                <w:sz w:val="20"/>
                <w:szCs w:val="20"/>
              </w:rPr>
            </w:pPr>
            <w:r w:rsidRPr="00E4771F">
              <w:rPr>
                <w:sz w:val="20"/>
                <w:szCs w:val="20"/>
              </w:rPr>
              <w:t xml:space="preserve">Since the “NL” sequence in the upstream of YVV in the 14 </w:t>
            </w:r>
            <w:proofErr w:type="spellStart"/>
            <w:r w:rsidRPr="00E4771F">
              <w:rPr>
                <w:sz w:val="20"/>
                <w:szCs w:val="20"/>
              </w:rPr>
              <w:t>aa</w:t>
            </w:r>
            <w:proofErr w:type="spellEnd"/>
            <w:r w:rsidRPr="00E4771F">
              <w:rPr>
                <w:sz w:val="20"/>
                <w:szCs w:val="20"/>
              </w:rPr>
              <w:t xml:space="preserve"> </w:t>
            </w:r>
            <w:proofErr w:type="gramStart"/>
            <w:r w:rsidRPr="00E4771F">
              <w:rPr>
                <w:sz w:val="20"/>
                <w:szCs w:val="20"/>
              </w:rPr>
              <w:t>stretch</w:t>
            </w:r>
            <w:proofErr w:type="gramEnd"/>
            <w:r w:rsidRPr="00E4771F">
              <w:rPr>
                <w:sz w:val="20"/>
                <w:szCs w:val="20"/>
              </w:rPr>
              <w:t xml:space="preserve"> “SVLFPNLAGKSYVV” is reported to be significant especially for conferring resistance to RTSV…has the authors observed any such region of the deduced amino acids in the study?</w:t>
            </w:r>
          </w:p>
          <w:p w:rsidR="00B72FE9" w:rsidRPr="00E4771F" w:rsidRDefault="00B72FE9" w:rsidP="004004A5">
            <w:pPr>
              <w:spacing w:after="0" w:line="240" w:lineRule="auto"/>
              <w:rPr>
                <w:b/>
                <w:bCs/>
                <w:sz w:val="20"/>
                <w:szCs w:val="20"/>
              </w:rPr>
            </w:pPr>
          </w:p>
        </w:tc>
        <w:tc>
          <w:tcPr>
            <w:tcW w:w="4410" w:type="dxa"/>
            <w:shd w:val="clear" w:color="auto" w:fill="auto"/>
          </w:tcPr>
          <w:p w:rsidR="00B72FE9" w:rsidRPr="00E4771F" w:rsidRDefault="00B72FE9" w:rsidP="004004A5">
            <w:pPr>
              <w:spacing w:after="0" w:line="240" w:lineRule="auto"/>
              <w:rPr>
                <w:bCs/>
                <w:sz w:val="20"/>
                <w:szCs w:val="20"/>
              </w:rPr>
            </w:pPr>
            <w:r w:rsidRPr="00E4771F">
              <w:rPr>
                <w:bCs/>
                <w:sz w:val="20"/>
                <w:szCs w:val="20"/>
              </w:rPr>
              <w:t>In the present study, in the stretch of 14 amino acid residues ‘SVLFPNLYGKSYVV’ (</w:t>
            </w:r>
            <w:proofErr w:type="spellStart"/>
            <w:r w:rsidRPr="00E4771F">
              <w:rPr>
                <w:bCs/>
                <w:sz w:val="20"/>
                <w:szCs w:val="20"/>
              </w:rPr>
              <w:t>Macovei</w:t>
            </w:r>
            <w:proofErr w:type="spellEnd"/>
            <w:r w:rsidRPr="00E4771F">
              <w:rPr>
                <w:bCs/>
                <w:sz w:val="20"/>
                <w:szCs w:val="20"/>
              </w:rPr>
              <w:t xml:space="preserve"> </w:t>
            </w:r>
            <w:r w:rsidRPr="00E4771F">
              <w:rPr>
                <w:bCs/>
                <w:i/>
                <w:sz w:val="20"/>
                <w:szCs w:val="20"/>
              </w:rPr>
              <w:t>et al</w:t>
            </w:r>
            <w:r w:rsidRPr="00E4771F">
              <w:rPr>
                <w:bCs/>
                <w:sz w:val="20"/>
                <w:szCs w:val="20"/>
              </w:rPr>
              <w:t xml:space="preserve">., 2018), the </w:t>
            </w:r>
            <w:proofErr w:type="spellStart"/>
            <w:r w:rsidRPr="00E4771F">
              <w:rPr>
                <w:bCs/>
                <w:sz w:val="20"/>
                <w:szCs w:val="20"/>
              </w:rPr>
              <w:t>sgRNA</w:t>
            </w:r>
            <w:proofErr w:type="spellEnd"/>
            <w:r w:rsidRPr="00E4771F">
              <w:rPr>
                <w:bCs/>
                <w:sz w:val="20"/>
                <w:szCs w:val="20"/>
              </w:rPr>
              <w:t xml:space="preserve"> targets part of this 14 amino acid residues </w:t>
            </w:r>
            <w:r w:rsidRPr="00E4771F">
              <w:rPr>
                <w:bCs/>
                <w:i/>
                <w:sz w:val="20"/>
                <w:szCs w:val="20"/>
              </w:rPr>
              <w:t>i.e</w:t>
            </w:r>
            <w:r w:rsidRPr="00E4771F">
              <w:rPr>
                <w:bCs/>
                <w:sz w:val="20"/>
                <w:szCs w:val="20"/>
              </w:rPr>
              <w:t>., ‘GKSYVVD’. We have observed modifications of S &gt; F, V &gt; A (2</w:t>
            </w:r>
            <w:r w:rsidRPr="00E4771F">
              <w:rPr>
                <w:bCs/>
                <w:sz w:val="20"/>
                <w:szCs w:val="20"/>
                <w:vertAlign w:val="superscript"/>
              </w:rPr>
              <w:t>nd</w:t>
            </w:r>
            <w:r w:rsidRPr="00E4771F">
              <w:rPr>
                <w:bCs/>
                <w:sz w:val="20"/>
                <w:szCs w:val="20"/>
              </w:rPr>
              <w:t xml:space="preserve"> V residue) and D &gt; H. Besides, there was deletion of the first V residue in two of the mutants.</w:t>
            </w:r>
          </w:p>
        </w:tc>
        <w:tc>
          <w:tcPr>
            <w:tcW w:w="3870" w:type="dxa"/>
          </w:tcPr>
          <w:p w:rsidR="00502319" w:rsidRPr="00E4771F" w:rsidRDefault="00502319" w:rsidP="00502319">
            <w:pPr>
              <w:spacing w:after="0" w:line="240" w:lineRule="auto"/>
              <w:jc w:val="center"/>
              <w:rPr>
                <w:bCs/>
                <w:sz w:val="26"/>
                <w:szCs w:val="26"/>
              </w:rPr>
            </w:pPr>
          </w:p>
          <w:p w:rsidR="00502319" w:rsidRPr="00E4771F" w:rsidRDefault="00502319" w:rsidP="00502319">
            <w:pPr>
              <w:spacing w:after="0" w:line="240" w:lineRule="auto"/>
              <w:jc w:val="center"/>
              <w:rPr>
                <w:bCs/>
                <w:sz w:val="26"/>
                <w:szCs w:val="26"/>
              </w:rPr>
            </w:pPr>
          </w:p>
          <w:p w:rsidR="00502319" w:rsidRPr="00E4771F" w:rsidRDefault="00E4771F" w:rsidP="00502319">
            <w:pPr>
              <w:spacing w:after="0" w:line="240" w:lineRule="auto"/>
              <w:jc w:val="center"/>
              <w:rPr>
                <w:bCs/>
                <w:sz w:val="26"/>
                <w:szCs w:val="26"/>
              </w:rPr>
            </w:pPr>
            <w:r w:rsidRPr="00E4771F">
              <w:rPr>
                <w:b/>
                <w:sz w:val="26"/>
                <w:szCs w:val="26"/>
              </w:rPr>
              <w:sym w:font="Wingdings" w:char="F0FE"/>
            </w:r>
          </w:p>
        </w:tc>
      </w:tr>
      <w:tr w:rsidR="00B72FE9" w:rsidRPr="00E4771F" w:rsidTr="00E4771F">
        <w:tc>
          <w:tcPr>
            <w:tcW w:w="793" w:type="dxa"/>
            <w:shd w:val="clear" w:color="auto" w:fill="auto"/>
          </w:tcPr>
          <w:p w:rsidR="00B72FE9" w:rsidRPr="00E4771F" w:rsidRDefault="00B72FE9" w:rsidP="004004A5">
            <w:pPr>
              <w:spacing w:after="0" w:line="240" w:lineRule="auto"/>
              <w:rPr>
                <w:b/>
                <w:bCs/>
                <w:sz w:val="20"/>
                <w:szCs w:val="20"/>
              </w:rPr>
            </w:pPr>
            <w:r w:rsidRPr="00E4771F">
              <w:rPr>
                <w:b/>
                <w:bCs/>
                <w:sz w:val="20"/>
                <w:szCs w:val="20"/>
              </w:rPr>
              <w:t xml:space="preserve">4 </w:t>
            </w:r>
          </w:p>
        </w:tc>
        <w:tc>
          <w:tcPr>
            <w:tcW w:w="4535" w:type="dxa"/>
            <w:shd w:val="clear" w:color="auto" w:fill="auto"/>
          </w:tcPr>
          <w:p w:rsidR="00B72FE9" w:rsidRPr="00E4771F" w:rsidRDefault="00B72FE9" w:rsidP="004004A5">
            <w:pPr>
              <w:spacing w:after="0" w:line="240" w:lineRule="auto"/>
              <w:rPr>
                <w:sz w:val="20"/>
                <w:szCs w:val="20"/>
              </w:rPr>
            </w:pPr>
            <w:r w:rsidRPr="00E4771F">
              <w:rPr>
                <w:sz w:val="20"/>
                <w:szCs w:val="20"/>
              </w:rPr>
              <w:t>Instead of Figure 2a, 2b…….It can be presented as Fig.2 with a common title of PCR analysis of the To mutants with legends indicating for separate gel images.</w:t>
            </w:r>
          </w:p>
        </w:tc>
        <w:tc>
          <w:tcPr>
            <w:tcW w:w="4410" w:type="dxa"/>
            <w:vMerge w:val="restart"/>
            <w:shd w:val="clear" w:color="auto" w:fill="auto"/>
          </w:tcPr>
          <w:p w:rsidR="00B72FE9" w:rsidRPr="00E4771F" w:rsidRDefault="00B72FE9" w:rsidP="004004A5">
            <w:pPr>
              <w:spacing w:after="0" w:line="240" w:lineRule="auto"/>
              <w:rPr>
                <w:bCs/>
                <w:sz w:val="20"/>
                <w:szCs w:val="20"/>
              </w:rPr>
            </w:pPr>
          </w:p>
          <w:p w:rsidR="00B72FE9" w:rsidRPr="00E4771F" w:rsidRDefault="00B72FE9" w:rsidP="004004A5">
            <w:pPr>
              <w:spacing w:after="0" w:line="240" w:lineRule="auto"/>
              <w:rPr>
                <w:bCs/>
                <w:sz w:val="20"/>
                <w:szCs w:val="20"/>
              </w:rPr>
            </w:pPr>
          </w:p>
          <w:p w:rsidR="00B72FE9" w:rsidRPr="00E4771F" w:rsidRDefault="00B72FE9" w:rsidP="004004A5">
            <w:pPr>
              <w:spacing w:after="0" w:line="240" w:lineRule="auto"/>
              <w:rPr>
                <w:bCs/>
                <w:sz w:val="20"/>
                <w:szCs w:val="20"/>
              </w:rPr>
            </w:pPr>
            <w:r w:rsidRPr="00E4771F">
              <w:rPr>
                <w:bCs/>
                <w:sz w:val="20"/>
                <w:szCs w:val="20"/>
              </w:rPr>
              <w:t xml:space="preserve">PCR results for </w:t>
            </w:r>
            <w:proofErr w:type="spellStart"/>
            <w:r w:rsidRPr="00E4771F">
              <w:rPr>
                <w:bCs/>
                <w:i/>
                <w:sz w:val="20"/>
                <w:szCs w:val="20"/>
              </w:rPr>
              <w:t>hpt</w:t>
            </w:r>
            <w:proofErr w:type="spellEnd"/>
            <w:r w:rsidRPr="00E4771F">
              <w:rPr>
                <w:bCs/>
                <w:i/>
                <w:sz w:val="20"/>
                <w:szCs w:val="20"/>
              </w:rPr>
              <w:t xml:space="preserve">, cas9 </w:t>
            </w:r>
            <w:r w:rsidRPr="00E4771F">
              <w:rPr>
                <w:bCs/>
                <w:sz w:val="20"/>
                <w:szCs w:val="20"/>
              </w:rPr>
              <w:t xml:space="preserve">and </w:t>
            </w:r>
            <w:r w:rsidRPr="00E4771F">
              <w:rPr>
                <w:bCs/>
                <w:i/>
                <w:sz w:val="20"/>
                <w:szCs w:val="20"/>
              </w:rPr>
              <w:t xml:space="preserve">eIF4G </w:t>
            </w:r>
            <w:r w:rsidRPr="00E4771F">
              <w:rPr>
                <w:bCs/>
                <w:sz w:val="20"/>
                <w:szCs w:val="20"/>
              </w:rPr>
              <w:t xml:space="preserve">genes are clubbed together in a single figure, Figure 3. </w:t>
            </w:r>
          </w:p>
        </w:tc>
        <w:tc>
          <w:tcPr>
            <w:tcW w:w="3870" w:type="dxa"/>
          </w:tcPr>
          <w:p w:rsidR="00502319" w:rsidRPr="00E4771F" w:rsidRDefault="00502319" w:rsidP="00502319">
            <w:pPr>
              <w:spacing w:after="0" w:line="240" w:lineRule="auto"/>
              <w:jc w:val="center"/>
              <w:rPr>
                <w:b/>
                <w:sz w:val="26"/>
                <w:szCs w:val="26"/>
              </w:rPr>
            </w:pPr>
          </w:p>
          <w:p w:rsidR="00B72FE9" w:rsidRPr="00E4771F" w:rsidRDefault="00E4771F" w:rsidP="00502319">
            <w:pPr>
              <w:spacing w:after="0" w:line="240" w:lineRule="auto"/>
              <w:jc w:val="center"/>
              <w:rPr>
                <w:bCs/>
                <w:sz w:val="26"/>
                <w:szCs w:val="26"/>
              </w:rPr>
            </w:pPr>
            <w:r w:rsidRPr="00E4771F">
              <w:rPr>
                <w:b/>
                <w:sz w:val="26"/>
                <w:szCs w:val="26"/>
              </w:rPr>
              <w:sym w:font="Wingdings" w:char="F0FE"/>
            </w:r>
          </w:p>
        </w:tc>
      </w:tr>
      <w:tr w:rsidR="00B72FE9" w:rsidRPr="00E4771F" w:rsidTr="00E4771F">
        <w:tc>
          <w:tcPr>
            <w:tcW w:w="793" w:type="dxa"/>
            <w:shd w:val="clear" w:color="auto" w:fill="auto"/>
          </w:tcPr>
          <w:p w:rsidR="00B72FE9" w:rsidRPr="00E4771F" w:rsidRDefault="00B72FE9" w:rsidP="004004A5">
            <w:pPr>
              <w:spacing w:after="0" w:line="240" w:lineRule="auto"/>
              <w:rPr>
                <w:b/>
                <w:bCs/>
                <w:sz w:val="20"/>
                <w:szCs w:val="20"/>
              </w:rPr>
            </w:pPr>
            <w:r w:rsidRPr="00E4771F">
              <w:rPr>
                <w:b/>
                <w:bCs/>
                <w:sz w:val="20"/>
                <w:szCs w:val="20"/>
              </w:rPr>
              <w:t>5</w:t>
            </w:r>
          </w:p>
        </w:tc>
        <w:tc>
          <w:tcPr>
            <w:tcW w:w="4535" w:type="dxa"/>
            <w:shd w:val="clear" w:color="auto" w:fill="auto"/>
          </w:tcPr>
          <w:p w:rsidR="00B72FE9" w:rsidRPr="00E4771F" w:rsidRDefault="00B72FE9" w:rsidP="004004A5">
            <w:pPr>
              <w:spacing w:after="0" w:line="240" w:lineRule="auto"/>
              <w:rPr>
                <w:b/>
                <w:bCs/>
                <w:sz w:val="20"/>
                <w:szCs w:val="20"/>
              </w:rPr>
            </w:pPr>
            <w:r w:rsidRPr="00E4771F">
              <w:rPr>
                <w:sz w:val="20"/>
                <w:szCs w:val="20"/>
              </w:rPr>
              <w:t>What about the amplification results of eIF4G by PCR as represented in Table 1?</w:t>
            </w:r>
          </w:p>
        </w:tc>
        <w:tc>
          <w:tcPr>
            <w:tcW w:w="4410" w:type="dxa"/>
            <w:vMerge/>
            <w:shd w:val="clear" w:color="auto" w:fill="auto"/>
          </w:tcPr>
          <w:p w:rsidR="00B72FE9" w:rsidRPr="00E4771F" w:rsidRDefault="00B72FE9" w:rsidP="004004A5">
            <w:pPr>
              <w:spacing w:after="0" w:line="240" w:lineRule="auto"/>
              <w:rPr>
                <w:b/>
                <w:bCs/>
                <w:sz w:val="20"/>
                <w:szCs w:val="20"/>
              </w:rPr>
            </w:pPr>
          </w:p>
        </w:tc>
        <w:tc>
          <w:tcPr>
            <w:tcW w:w="3870" w:type="dxa"/>
          </w:tcPr>
          <w:p w:rsidR="00B72FE9" w:rsidRPr="00E4771F" w:rsidRDefault="00E4771F" w:rsidP="00502319">
            <w:pPr>
              <w:spacing w:after="0" w:line="240" w:lineRule="auto"/>
              <w:jc w:val="center"/>
              <w:rPr>
                <w:b/>
                <w:bCs/>
                <w:sz w:val="26"/>
                <w:szCs w:val="26"/>
              </w:rPr>
            </w:pPr>
            <w:r w:rsidRPr="00E4771F">
              <w:rPr>
                <w:b/>
                <w:sz w:val="26"/>
                <w:szCs w:val="26"/>
              </w:rPr>
              <w:sym w:font="Wingdings" w:char="F0FE"/>
            </w:r>
          </w:p>
        </w:tc>
      </w:tr>
      <w:tr w:rsidR="00B72FE9" w:rsidRPr="00E4771F" w:rsidTr="00E4771F">
        <w:tc>
          <w:tcPr>
            <w:tcW w:w="793" w:type="dxa"/>
            <w:shd w:val="clear" w:color="auto" w:fill="auto"/>
          </w:tcPr>
          <w:p w:rsidR="00B72FE9" w:rsidRPr="00E4771F" w:rsidRDefault="00B72FE9" w:rsidP="004004A5">
            <w:pPr>
              <w:spacing w:after="0" w:line="240" w:lineRule="auto"/>
              <w:rPr>
                <w:b/>
                <w:bCs/>
                <w:sz w:val="20"/>
                <w:szCs w:val="20"/>
              </w:rPr>
            </w:pPr>
            <w:r w:rsidRPr="00E4771F">
              <w:rPr>
                <w:b/>
                <w:bCs/>
                <w:sz w:val="20"/>
                <w:szCs w:val="20"/>
              </w:rPr>
              <w:t>6</w:t>
            </w:r>
          </w:p>
        </w:tc>
        <w:tc>
          <w:tcPr>
            <w:tcW w:w="4535" w:type="dxa"/>
            <w:shd w:val="clear" w:color="auto" w:fill="auto"/>
          </w:tcPr>
          <w:p w:rsidR="00B72FE9" w:rsidRPr="00E4771F" w:rsidRDefault="00B72FE9" w:rsidP="004004A5">
            <w:pPr>
              <w:spacing w:after="0" w:line="240" w:lineRule="auto"/>
              <w:rPr>
                <w:sz w:val="20"/>
                <w:szCs w:val="20"/>
              </w:rPr>
            </w:pPr>
            <w:r w:rsidRPr="00E4771F">
              <w:rPr>
                <w:sz w:val="20"/>
                <w:szCs w:val="20"/>
              </w:rPr>
              <w:t xml:space="preserve">The title of Fig. 3 may be corrected and precisely presented (Figure 3. Nucleotide frequencies at each position in the target sequence…………of???) </w:t>
            </w:r>
            <w:proofErr w:type="gramStart"/>
            <w:r w:rsidRPr="00E4771F">
              <w:rPr>
                <w:sz w:val="20"/>
                <w:szCs w:val="20"/>
              </w:rPr>
              <w:t>also</w:t>
            </w:r>
            <w:proofErr w:type="gramEnd"/>
            <w:r w:rsidRPr="00E4771F">
              <w:rPr>
                <w:sz w:val="20"/>
                <w:szCs w:val="20"/>
              </w:rPr>
              <w:t xml:space="preserve"> specify tools used in analysis in the title/legend.</w:t>
            </w:r>
          </w:p>
        </w:tc>
        <w:tc>
          <w:tcPr>
            <w:tcW w:w="4410" w:type="dxa"/>
            <w:shd w:val="clear" w:color="auto" w:fill="auto"/>
          </w:tcPr>
          <w:p w:rsidR="00B72FE9" w:rsidRPr="00E4771F" w:rsidRDefault="00B72FE9" w:rsidP="004004A5">
            <w:pPr>
              <w:spacing w:after="0" w:line="240" w:lineRule="auto"/>
              <w:rPr>
                <w:bCs/>
                <w:sz w:val="20"/>
                <w:szCs w:val="20"/>
              </w:rPr>
            </w:pPr>
            <w:r w:rsidRPr="00E4771F">
              <w:rPr>
                <w:bCs/>
                <w:sz w:val="20"/>
                <w:szCs w:val="20"/>
              </w:rPr>
              <w:t>Title of the figure is modified.</w:t>
            </w:r>
          </w:p>
        </w:tc>
        <w:tc>
          <w:tcPr>
            <w:tcW w:w="3870" w:type="dxa"/>
          </w:tcPr>
          <w:p w:rsidR="00E4771F" w:rsidRPr="00E4771F" w:rsidRDefault="00E4771F" w:rsidP="00E4771F">
            <w:pPr>
              <w:spacing w:after="0" w:line="240" w:lineRule="auto"/>
              <w:jc w:val="center"/>
              <w:rPr>
                <w:b/>
                <w:sz w:val="26"/>
                <w:szCs w:val="26"/>
              </w:rPr>
            </w:pPr>
          </w:p>
          <w:p w:rsidR="00B72FE9" w:rsidRPr="00E4771F" w:rsidRDefault="00E4771F" w:rsidP="00E4771F">
            <w:pPr>
              <w:spacing w:after="0" w:line="240" w:lineRule="auto"/>
              <w:jc w:val="center"/>
              <w:rPr>
                <w:bCs/>
                <w:sz w:val="26"/>
                <w:szCs w:val="26"/>
              </w:rPr>
            </w:pPr>
            <w:r w:rsidRPr="00E4771F">
              <w:rPr>
                <w:b/>
                <w:sz w:val="26"/>
                <w:szCs w:val="26"/>
              </w:rPr>
              <w:sym w:font="Wingdings" w:char="F0FE"/>
            </w:r>
          </w:p>
        </w:tc>
      </w:tr>
      <w:tr w:rsidR="00B72FE9" w:rsidRPr="00E4771F" w:rsidTr="00E4771F">
        <w:tc>
          <w:tcPr>
            <w:tcW w:w="793" w:type="dxa"/>
            <w:shd w:val="clear" w:color="auto" w:fill="auto"/>
          </w:tcPr>
          <w:p w:rsidR="00B72FE9" w:rsidRPr="00E4771F" w:rsidRDefault="00B72FE9" w:rsidP="004004A5">
            <w:pPr>
              <w:spacing w:after="0" w:line="240" w:lineRule="auto"/>
              <w:rPr>
                <w:b/>
                <w:bCs/>
                <w:sz w:val="20"/>
                <w:szCs w:val="20"/>
              </w:rPr>
            </w:pPr>
            <w:r w:rsidRPr="00E4771F">
              <w:rPr>
                <w:b/>
                <w:bCs/>
                <w:sz w:val="20"/>
                <w:szCs w:val="20"/>
              </w:rPr>
              <w:t>7</w:t>
            </w:r>
          </w:p>
        </w:tc>
        <w:tc>
          <w:tcPr>
            <w:tcW w:w="4535" w:type="dxa"/>
            <w:shd w:val="clear" w:color="auto" w:fill="auto"/>
          </w:tcPr>
          <w:p w:rsidR="00B72FE9" w:rsidRPr="00E4771F" w:rsidRDefault="00B72FE9" w:rsidP="004004A5">
            <w:pPr>
              <w:spacing w:after="0" w:line="240" w:lineRule="auto"/>
              <w:rPr>
                <w:sz w:val="20"/>
                <w:szCs w:val="20"/>
              </w:rPr>
            </w:pPr>
            <w:r w:rsidRPr="00E4771F">
              <w:rPr>
                <w:sz w:val="20"/>
                <w:szCs w:val="20"/>
              </w:rPr>
              <w:t xml:space="preserve">The following references are not in the running text of MS…but in References list </w:t>
            </w:r>
          </w:p>
          <w:p w:rsidR="00B72FE9" w:rsidRPr="00E4771F" w:rsidRDefault="00B72FE9" w:rsidP="004004A5">
            <w:pPr>
              <w:pStyle w:val="ListParagraph"/>
              <w:spacing w:after="0" w:line="240" w:lineRule="auto"/>
              <w:rPr>
                <w:sz w:val="20"/>
                <w:szCs w:val="20"/>
              </w:rPr>
            </w:pPr>
            <w:proofErr w:type="spellStart"/>
            <w:r w:rsidRPr="00E4771F">
              <w:rPr>
                <w:sz w:val="20"/>
                <w:szCs w:val="20"/>
              </w:rPr>
              <w:t>Bae</w:t>
            </w:r>
            <w:proofErr w:type="spellEnd"/>
            <w:r w:rsidRPr="00E4771F">
              <w:rPr>
                <w:sz w:val="20"/>
                <w:szCs w:val="20"/>
              </w:rPr>
              <w:t xml:space="preserve"> et al., 2014 </w:t>
            </w:r>
          </w:p>
          <w:p w:rsidR="00B72FE9" w:rsidRPr="00E4771F" w:rsidRDefault="00B72FE9" w:rsidP="004004A5">
            <w:pPr>
              <w:pStyle w:val="ListParagraph"/>
              <w:spacing w:after="0" w:line="240" w:lineRule="auto"/>
              <w:rPr>
                <w:sz w:val="20"/>
                <w:szCs w:val="20"/>
                <w:lang w:val="en-GB"/>
              </w:rPr>
            </w:pPr>
            <w:proofErr w:type="spellStart"/>
            <w:r w:rsidRPr="00E4771F">
              <w:rPr>
                <w:sz w:val="20"/>
                <w:szCs w:val="20"/>
                <w:lang w:val="en-GB"/>
              </w:rPr>
              <w:t>Koressaar</w:t>
            </w:r>
            <w:proofErr w:type="spellEnd"/>
            <w:r w:rsidRPr="00E4771F">
              <w:rPr>
                <w:sz w:val="20"/>
                <w:szCs w:val="20"/>
                <w:lang w:val="en-GB"/>
              </w:rPr>
              <w:t xml:space="preserve">, T. and M. </w:t>
            </w:r>
            <w:proofErr w:type="spellStart"/>
            <w:r w:rsidRPr="00E4771F">
              <w:rPr>
                <w:sz w:val="20"/>
                <w:szCs w:val="20"/>
                <w:lang w:val="en-GB"/>
              </w:rPr>
              <w:t>Remm</w:t>
            </w:r>
            <w:proofErr w:type="spellEnd"/>
            <w:r w:rsidRPr="00E4771F">
              <w:rPr>
                <w:sz w:val="20"/>
                <w:szCs w:val="20"/>
                <w:lang w:val="en-GB"/>
              </w:rPr>
              <w:t xml:space="preserve">. 2007 </w:t>
            </w:r>
          </w:p>
          <w:p w:rsidR="00B72FE9" w:rsidRPr="00E4771F" w:rsidRDefault="00B72FE9" w:rsidP="004004A5">
            <w:pPr>
              <w:pStyle w:val="ListParagraph"/>
              <w:spacing w:after="0" w:line="240" w:lineRule="auto"/>
              <w:rPr>
                <w:sz w:val="20"/>
                <w:szCs w:val="20"/>
              </w:rPr>
            </w:pPr>
            <w:proofErr w:type="spellStart"/>
            <w:r w:rsidRPr="00E4771F">
              <w:rPr>
                <w:sz w:val="20"/>
                <w:szCs w:val="20"/>
              </w:rPr>
              <w:t>Untergasser</w:t>
            </w:r>
            <w:proofErr w:type="spellEnd"/>
            <w:r w:rsidRPr="00E4771F">
              <w:rPr>
                <w:sz w:val="20"/>
                <w:szCs w:val="20"/>
              </w:rPr>
              <w:t xml:space="preserve"> et al.,2012</w:t>
            </w:r>
          </w:p>
        </w:tc>
        <w:tc>
          <w:tcPr>
            <w:tcW w:w="4410" w:type="dxa"/>
            <w:shd w:val="clear" w:color="auto" w:fill="auto"/>
          </w:tcPr>
          <w:p w:rsidR="00B72FE9" w:rsidRPr="00E4771F" w:rsidRDefault="00B72FE9" w:rsidP="004004A5">
            <w:pPr>
              <w:spacing w:after="0" w:line="240" w:lineRule="auto"/>
              <w:rPr>
                <w:bCs/>
                <w:sz w:val="20"/>
                <w:szCs w:val="20"/>
              </w:rPr>
            </w:pPr>
            <w:r w:rsidRPr="00E4771F">
              <w:rPr>
                <w:bCs/>
                <w:sz w:val="20"/>
                <w:szCs w:val="20"/>
              </w:rPr>
              <w:t>The references have been removed from the Reference list.</w:t>
            </w:r>
          </w:p>
        </w:tc>
        <w:tc>
          <w:tcPr>
            <w:tcW w:w="3870" w:type="dxa"/>
          </w:tcPr>
          <w:p w:rsidR="00E4771F" w:rsidRPr="00E4771F" w:rsidRDefault="00E4771F" w:rsidP="00E4771F">
            <w:pPr>
              <w:spacing w:after="0" w:line="240" w:lineRule="auto"/>
              <w:jc w:val="center"/>
              <w:rPr>
                <w:b/>
                <w:sz w:val="26"/>
                <w:szCs w:val="26"/>
              </w:rPr>
            </w:pPr>
          </w:p>
          <w:p w:rsidR="00B72FE9" w:rsidRPr="00E4771F" w:rsidRDefault="00E4771F" w:rsidP="00E4771F">
            <w:pPr>
              <w:spacing w:after="0" w:line="240" w:lineRule="auto"/>
              <w:jc w:val="center"/>
              <w:rPr>
                <w:bCs/>
                <w:sz w:val="26"/>
                <w:szCs w:val="26"/>
              </w:rPr>
            </w:pPr>
            <w:r w:rsidRPr="00E4771F">
              <w:rPr>
                <w:b/>
                <w:sz w:val="26"/>
                <w:szCs w:val="26"/>
              </w:rPr>
              <w:sym w:font="Wingdings" w:char="F0FE"/>
            </w:r>
          </w:p>
        </w:tc>
      </w:tr>
    </w:tbl>
    <w:p w:rsidR="00944D0D" w:rsidRDefault="00944D0D" w:rsidP="00E91F29">
      <w:pPr>
        <w:jc w:val="both"/>
      </w:pPr>
    </w:p>
    <w:sectPr w:rsidR="00944D0D" w:rsidSect="00E4771F">
      <w:pgSz w:w="15840" w:h="12240" w:orient="landscape"/>
      <w:pgMar w:top="810" w:right="1440" w:bottom="11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1A3"/>
    <w:multiLevelType w:val="hybridMultilevel"/>
    <w:tmpl w:val="F4D8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180256"/>
    <w:rsid w:val="00146AB8"/>
    <w:rsid w:val="00180256"/>
    <w:rsid w:val="00181B53"/>
    <w:rsid w:val="001935C3"/>
    <w:rsid w:val="001C4947"/>
    <w:rsid w:val="00222D76"/>
    <w:rsid w:val="002B797B"/>
    <w:rsid w:val="00306204"/>
    <w:rsid w:val="003E647F"/>
    <w:rsid w:val="003F1850"/>
    <w:rsid w:val="004004A5"/>
    <w:rsid w:val="00443DFF"/>
    <w:rsid w:val="00502319"/>
    <w:rsid w:val="006875D6"/>
    <w:rsid w:val="0092363D"/>
    <w:rsid w:val="00944D0D"/>
    <w:rsid w:val="00A078A8"/>
    <w:rsid w:val="00A727E1"/>
    <w:rsid w:val="00B72FE9"/>
    <w:rsid w:val="00E4771F"/>
    <w:rsid w:val="00E91F29"/>
    <w:rsid w:val="00F11DF5"/>
    <w:rsid w:val="00F1653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204"/>
    <w:pPr>
      <w:ind w:left="720"/>
      <w:contextualSpacing/>
    </w:pPr>
  </w:style>
  <w:style w:type="character" w:styleId="Emphasis">
    <w:name w:val="Emphasis"/>
    <w:basedOn w:val="DefaultParagraphFont"/>
    <w:uiPriority w:val="20"/>
    <w:qFormat/>
    <w:rsid w:val="0030620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E266-F596-4E02-B038-B49304AE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RAJESH</cp:lastModifiedBy>
  <cp:revision>15</cp:revision>
  <dcterms:created xsi:type="dcterms:W3CDTF">2021-10-21T12:10:00Z</dcterms:created>
  <dcterms:modified xsi:type="dcterms:W3CDTF">2021-10-23T09:59:00Z</dcterms:modified>
</cp:coreProperties>
</file>