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E0" w:rsidRPr="00C518DA" w:rsidRDefault="006623E0" w:rsidP="006623E0">
      <w:pPr>
        <w:pStyle w:val="Header"/>
        <w:tabs>
          <w:tab w:val="clear" w:pos="4680"/>
        </w:tabs>
        <w:ind w:right="105"/>
        <w:rPr>
          <w:rFonts w:ascii="Franklin Gothic Medium" w:hAnsi="Franklin Gothic Medium"/>
        </w:rPr>
      </w:pPr>
      <w:r w:rsidRPr="00133F1A">
        <w:rPr>
          <w:rFonts w:ascii="Franklin Gothic Medium" w:hAnsi="Franklin Gothic Medium"/>
          <w:highlight w:val="lightGray"/>
        </w:rPr>
        <w:t>RESEARCH ARTICLE</w:t>
      </w:r>
    </w:p>
    <w:p w:rsidR="006623E0" w:rsidRPr="000308BC" w:rsidRDefault="000308BC" w:rsidP="000308BC">
      <w:pPr>
        <w:tabs>
          <w:tab w:val="left" w:pos="720"/>
        </w:tabs>
        <w:jc w:val="left"/>
        <w:rPr>
          <w:b/>
          <w:sz w:val="28"/>
          <w:szCs w:val="28"/>
        </w:rPr>
      </w:pPr>
      <w:r w:rsidRPr="000308BC">
        <w:rPr>
          <w:b/>
          <w:sz w:val="28"/>
          <w:szCs w:val="28"/>
        </w:rPr>
        <w:t>Response of Sesamum Varieties to Graded Levels of Sulphur on Seed Yield and Oil Content in Soils of Different Sulphur Status</w:t>
      </w:r>
    </w:p>
    <w:p w:rsidR="006623E0" w:rsidRPr="00D05C94" w:rsidRDefault="006623E0" w:rsidP="006623E0">
      <w:pPr>
        <w:spacing w:after="0"/>
        <w:rPr>
          <w:rFonts w:ascii="Franklin Gothic Medium" w:hAnsi="Franklin Gothic Medium"/>
          <w:sz w:val="16"/>
          <w:szCs w:val="16"/>
        </w:rPr>
      </w:pPr>
    </w:p>
    <w:tbl>
      <w:tblPr>
        <w:tblW w:w="5000" w:type="pct"/>
        <w:tblLook w:val="04A0"/>
      </w:tblPr>
      <w:tblGrid>
        <w:gridCol w:w="2660"/>
        <w:gridCol w:w="6583"/>
      </w:tblGrid>
      <w:tr w:rsidR="006623E0" w:rsidRPr="00E10C46" w:rsidTr="006F7681">
        <w:tc>
          <w:tcPr>
            <w:tcW w:w="1439" w:type="pct"/>
          </w:tcPr>
          <w:p w:rsidR="006623E0" w:rsidRPr="00E10C46" w:rsidRDefault="006623E0" w:rsidP="006F7681">
            <w:pPr>
              <w:spacing w:after="0"/>
              <w:rPr>
                <w:rFonts w:ascii="Franklin Gothic Medium" w:hAnsi="Franklin Gothic Medium"/>
                <w:szCs w:val="20"/>
              </w:rPr>
            </w:pPr>
          </w:p>
          <w:p w:rsidR="006623E0" w:rsidRPr="00E10C46" w:rsidRDefault="006623E0" w:rsidP="006F7681">
            <w:pPr>
              <w:spacing w:after="0"/>
              <w:rPr>
                <w:rFonts w:ascii="Franklin Gothic Medium" w:hAnsi="Franklin Gothic Medium"/>
                <w:szCs w:val="20"/>
              </w:rPr>
            </w:pPr>
          </w:p>
          <w:p w:rsidR="006623E0" w:rsidRPr="00E10C46" w:rsidRDefault="006623E0" w:rsidP="006F7681">
            <w:pPr>
              <w:spacing w:after="0"/>
              <w:rPr>
                <w:rFonts w:ascii="Franklin Gothic Medium" w:hAnsi="Franklin Gothic Medium"/>
                <w:szCs w:val="20"/>
              </w:rPr>
            </w:pPr>
          </w:p>
          <w:p w:rsidR="006623E0" w:rsidRPr="00E10C46" w:rsidRDefault="006623E0" w:rsidP="006F7681">
            <w:pPr>
              <w:spacing w:after="0"/>
              <w:rPr>
                <w:rFonts w:ascii="Franklin Gothic Medium" w:hAnsi="Franklin Gothic Medium"/>
                <w:szCs w:val="20"/>
              </w:rPr>
            </w:pPr>
          </w:p>
          <w:p w:rsidR="006623E0" w:rsidRPr="00342E6C" w:rsidRDefault="006623E0" w:rsidP="006F7681">
            <w:pPr>
              <w:pStyle w:val="Abstractside"/>
              <w:rPr>
                <w:lang w:val="en-US" w:eastAsia="en-US"/>
              </w:rPr>
            </w:pPr>
          </w:p>
          <w:p w:rsidR="006623E0" w:rsidRPr="00342E6C" w:rsidRDefault="006623E0" w:rsidP="006F7681">
            <w:pPr>
              <w:pStyle w:val="Abstractside"/>
              <w:rPr>
                <w:lang w:val="en-US" w:eastAsia="en-US"/>
              </w:rPr>
            </w:pPr>
          </w:p>
          <w:p w:rsidR="006623E0" w:rsidRPr="00342E6C" w:rsidRDefault="006623E0" w:rsidP="006F7681">
            <w:pPr>
              <w:pStyle w:val="Abstractside"/>
              <w:rPr>
                <w:lang w:val="en-US" w:eastAsia="en-US"/>
              </w:rPr>
            </w:pPr>
          </w:p>
          <w:p w:rsidR="006623E0" w:rsidRPr="00342E6C" w:rsidRDefault="006623E0" w:rsidP="006F7681">
            <w:pPr>
              <w:pStyle w:val="Abstractside"/>
              <w:rPr>
                <w:lang w:val="en-US" w:eastAsia="en-US"/>
              </w:rPr>
            </w:pPr>
          </w:p>
          <w:p w:rsidR="006623E0" w:rsidRPr="00342E6C" w:rsidRDefault="006623E0" w:rsidP="006F7681">
            <w:pPr>
              <w:pStyle w:val="Abstractside"/>
              <w:rPr>
                <w:lang w:val="en-US" w:eastAsia="en-US"/>
              </w:rPr>
            </w:pPr>
          </w:p>
          <w:p w:rsidR="006623E0" w:rsidRPr="00342E6C" w:rsidRDefault="006623E0" w:rsidP="006F7681">
            <w:pPr>
              <w:pStyle w:val="Abstractside"/>
              <w:rPr>
                <w:lang w:val="en-US" w:eastAsia="en-US"/>
              </w:rPr>
            </w:pPr>
          </w:p>
        </w:tc>
        <w:tc>
          <w:tcPr>
            <w:tcW w:w="3561" w:type="pct"/>
          </w:tcPr>
          <w:p w:rsidR="006623E0" w:rsidRPr="00E10C46" w:rsidRDefault="006623E0" w:rsidP="006F7681">
            <w:pPr>
              <w:pStyle w:val="Heading2"/>
              <w:rPr>
                <w:rFonts w:ascii="Helvetica" w:hAnsi="Helvetica" w:cs="Helvetica"/>
                <w:sz w:val="19"/>
                <w:szCs w:val="19"/>
              </w:rPr>
            </w:pPr>
            <w:r w:rsidRPr="00C51359">
              <w:t>ABSTRACT</w:t>
            </w:r>
          </w:p>
          <w:p w:rsidR="006623E0" w:rsidRPr="000308BC" w:rsidRDefault="000308BC" w:rsidP="004F44F6">
            <w:pPr>
              <w:rPr>
                <w:szCs w:val="20"/>
              </w:rPr>
            </w:pPr>
            <w:r w:rsidRPr="000308BC">
              <w:rPr>
                <w:szCs w:val="20"/>
              </w:rPr>
              <w:t xml:space="preserve">Field experiments were conducted in Coimbatore District with discrete soil sulphur status </w:t>
            </w:r>
            <w:r w:rsidRPr="000308BC">
              <w:rPr>
                <w:i/>
                <w:szCs w:val="20"/>
              </w:rPr>
              <w:t>i.e.,</w:t>
            </w:r>
            <w:r w:rsidRPr="000308BC">
              <w:rPr>
                <w:szCs w:val="20"/>
              </w:rPr>
              <w:t xml:space="preserve"> soils with sufficient and deficient levels of sulphur </w:t>
            </w:r>
            <w:del w:id="0" w:author="admin" w:date="2021-01-26T07:35:00Z">
              <w:r w:rsidRPr="000308BC" w:rsidDel="004F44F6">
                <w:rPr>
                  <w:szCs w:val="20"/>
                </w:rPr>
                <w:delText xml:space="preserve">status in order </w:delText>
              </w:r>
            </w:del>
            <w:r w:rsidRPr="000308BC">
              <w:rPr>
                <w:szCs w:val="20"/>
              </w:rPr>
              <w:t xml:space="preserve">to know the relative response of </w:t>
            </w:r>
            <w:commentRangeStart w:id="1"/>
            <w:r w:rsidRPr="000308BC">
              <w:rPr>
                <w:szCs w:val="20"/>
              </w:rPr>
              <w:t xml:space="preserve">varied doses </w:t>
            </w:r>
            <w:commentRangeEnd w:id="1"/>
            <w:r w:rsidR="004F44F6">
              <w:rPr>
                <w:rStyle w:val="CommentReference"/>
              </w:rPr>
              <w:commentReference w:id="1"/>
            </w:r>
            <w:r w:rsidRPr="000308BC">
              <w:rPr>
                <w:szCs w:val="20"/>
              </w:rPr>
              <w:t xml:space="preserve">of sulphur on two different sesamum varieties. The experiments were laid out in split plot design with two factors </w:t>
            </w:r>
            <w:r w:rsidRPr="000308BC">
              <w:rPr>
                <w:i/>
                <w:szCs w:val="20"/>
              </w:rPr>
              <w:t>viz.,</w:t>
            </w:r>
            <w:r w:rsidRPr="000308BC">
              <w:rPr>
                <w:szCs w:val="20"/>
              </w:rPr>
              <w:t>two</w:t>
            </w:r>
            <w:r w:rsidRPr="000308BC">
              <w:rPr>
                <w:i/>
                <w:szCs w:val="20"/>
              </w:rPr>
              <w:t xml:space="preserve"> </w:t>
            </w:r>
            <w:r w:rsidRPr="000308BC">
              <w:rPr>
                <w:szCs w:val="20"/>
              </w:rPr>
              <w:t>sesamum varieties (TMV 7 - Black var. and  SVPR 1 - White var.) and Six sulphur levels (0, 20, 30, 40, 50 and 60 kg S ha</w:t>
            </w:r>
            <w:r w:rsidRPr="000308BC">
              <w:rPr>
                <w:szCs w:val="20"/>
                <w:vertAlign w:val="superscript"/>
              </w:rPr>
              <w:t>-1</w:t>
            </w:r>
            <w:r w:rsidRPr="000308BC">
              <w:rPr>
                <w:szCs w:val="20"/>
              </w:rPr>
              <w:t xml:space="preserve"> ). </w:t>
            </w:r>
            <w:del w:id="2" w:author="admin" w:date="2021-01-26T07:36:00Z">
              <w:r w:rsidRPr="000308BC" w:rsidDel="004F44F6">
                <w:rPr>
                  <w:szCs w:val="20"/>
                </w:rPr>
                <w:delText xml:space="preserve"> </w:delText>
              </w:r>
            </w:del>
            <w:r w:rsidRPr="000308BC">
              <w:rPr>
                <w:szCs w:val="20"/>
              </w:rPr>
              <w:t>The results reve</w:t>
            </w:r>
            <w:r w:rsidR="0018783F">
              <w:rPr>
                <w:szCs w:val="20"/>
              </w:rPr>
              <w:t>a</w:t>
            </w:r>
            <w:r w:rsidRPr="000308BC">
              <w:rPr>
                <w:szCs w:val="20"/>
              </w:rPr>
              <w:t>led that application of 30 and 50 kg S ha</w:t>
            </w:r>
            <w:r w:rsidRPr="000308BC">
              <w:rPr>
                <w:szCs w:val="20"/>
                <w:vertAlign w:val="superscript"/>
              </w:rPr>
              <w:t xml:space="preserve">-1 </w:t>
            </w:r>
            <w:r w:rsidRPr="000308BC">
              <w:rPr>
                <w:szCs w:val="20"/>
              </w:rPr>
              <w:t xml:space="preserve">at sulphur sufficient and sulphur deficient soils respectively has increased </w:t>
            </w:r>
            <w:del w:id="3" w:author="admin" w:date="2021-01-26T07:36:00Z">
              <w:r w:rsidRPr="000308BC" w:rsidDel="004F44F6">
                <w:rPr>
                  <w:szCs w:val="20"/>
                </w:rPr>
                <w:delText xml:space="preserve">almost all </w:delText>
              </w:r>
            </w:del>
            <w:r w:rsidRPr="000308BC">
              <w:rPr>
                <w:szCs w:val="20"/>
              </w:rPr>
              <w:t>the yield parameters such as test weight, seed weight per plant, seed yield, stalk yield, oil yield and biological yield and recorded the highest response for sulphur application at 30 kg ha</w:t>
            </w:r>
            <w:r w:rsidRPr="000308BC">
              <w:rPr>
                <w:szCs w:val="20"/>
                <w:vertAlign w:val="superscript"/>
              </w:rPr>
              <w:t>-1</w:t>
            </w:r>
            <w:del w:id="4" w:author="admin" w:date="2021-01-26T07:36:00Z">
              <w:r w:rsidRPr="000308BC" w:rsidDel="004F44F6">
                <w:rPr>
                  <w:szCs w:val="20"/>
                </w:rPr>
                <w:delText>,</w:delText>
              </w:r>
            </w:del>
            <w:ins w:id="5" w:author="admin" w:date="2021-01-26T07:36:00Z">
              <w:r w:rsidR="004F44F6">
                <w:rPr>
                  <w:szCs w:val="20"/>
                </w:rPr>
                <w:t>.</w:t>
              </w:r>
            </w:ins>
            <w:r w:rsidRPr="000308BC">
              <w:rPr>
                <w:szCs w:val="20"/>
              </w:rPr>
              <w:t xml:space="preserve"> </w:t>
            </w:r>
            <w:del w:id="6" w:author="admin" w:date="2021-01-26T07:36:00Z">
              <w:r w:rsidRPr="000308BC" w:rsidDel="004F44F6">
                <w:rPr>
                  <w:szCs w:val="20"/>
                </w:rPr>
                <w:delText>o</w:delText>
              </w:r>
            </w:del>
            <w:del w:id="7" w:author="admin" w:date="2021-01-26T07:37:00Z">
              <w:r w:rsidRPr="000308BC" w:rsidDel="004F44F6">
                <w:rPr>
                  <w:szCs w:val="20"/>
                </w:rPr>
                <w:delText xml:space="preserve">n </w:delText>
              </w:r>
              <w:commentRangeStart w:id="8"/>
              <w:r w:rsidRPr="000308BC" w:rsidDel="004F44F6">
                <w:rPr>
                  <w:szCs w:val="20"/>
                </w:rPr>
                <w:delText>f</w:delText>
              </w:r>
            </w:del>
            <w:ins w:id="9" w:author="admin" w:date="2021-01-26T07:37:00Z">
              <w:r w:rsidR="004F44F6">
                <w:rPr>
                  <w:szCs w:val="20"/>
                </w:rPr>
                <w:t>F</w:t>
              </w:r>
            </w:ins>
            <w:r w:rsidRPr="000308BC">
              <w:rPr>
                <w:szCs w:val="20"/>
              </w:rPr>
              <w:t>urther increase in sulphur application showed a decreasing trend in yield aspects in sulphur sufficient soil and in the case of deficient soil significant response was observed upto 50 kg S ha</w:t>
            </w:r>
            <w:r w:rsidRPr="000308BC">
              <w:rPr>
                <w:szCs w:val="20"/>
                <w:vertAlign w:val="superscript"/>
              </w:rPr>
              <w:t>-1</w:t>
            </w:r>
            <w:r w:rsidRPr="000308BC">
              <w:rPr>
                <w:szCs w:val="20"/>
              </w:rPr>
              <w:t xml:space="preserve">.  </w:t>
            </w:r>
            <w:commentRangeEnd w:id="8"/>
            <w:r w:rsidR="004F44F6">
              <w:rPr>
                <w:rStyle w:val="CommentReference"/>
              </w:rPr>
              <w:commentReference w:id="8"/>
            </w:r>
            <w:r w:rsidRPr="000308BC">
              <w:rPr>
                <w:szCs w:val="20"/>
              </w:rPr>
              <w:t>Among the two varieties, TMV 7 has performed better when compared with SVPR 1.</w:t>
            </w:r>
          </w:p>
        </w:tc>
      </w:tr>
    </w:tbl>
    <w:p w:rsidR="00A64E91" w:rsidRPr="007C7243" w:rsidRDefault="00A64E91" w:rsidP="000308BC">
      <w:pPr>
        <w:pStyle w:val="NoSpacing"/>
      </w:pPr>
      <w:r w:rsidRPr="007C7243">
        <w:rPr>
          <w:rStyle w:val="Heading3Char"/>
          <w:rFonts w:eastAsia="Calibri"/>
        </w:rPr>
        <w:t>Keywords:</w:t>
      </w:r>
      <w:r w:rsidRPr="007C7243">
        <w:t xml:space="preserve"> </w:t>
      </w:r>
      <w:r w:rsidR="000308BC" w:rsidRPr="000308BC">
        <w:rPr>
          <w:iCs/>
          <w:szCs w:val="20"/>
        </w:rPr>
        <w:t>Sulphur levels, soil sulphur status, growth and yield attributes</w:t>
      </w:r>
    </w:p>
    <w:p w:rsidR="006623E0" w:rsidRDefault="006623E0" w:rsidP="006623E0">
      <w:pPr>
        <w:autoSpaceDE w:val="0"/>
        <w:autoSpaceDN w:val="0"/>
        <w:adjustRightInd w:val="0"/>
        <w:spacing w:after="0"/>
        <w:rPr>
          <w:b/>
        </w:rPr>
      </w:pPr>
    </w:p>
    <w:p w:rsidR="006623E0" w:rsidRPr="00E34B68" w:rsidRDefault="006623E0" w:rsidP="006623E0">
      <w:pPr>
        <w:pStyle w:val="Heading2"/>
      </w:pPr>
      <w:r w:rsidRPr="00E34B68">
        <w:t>INTRODUCTION</w:t>
      </w:r>
    </w:p>
    <w:p w:rsidR="000308BC" w:rsidRPr="000308BC" w:rsidRDefault="000308BC" w:rsidP="000308BC">
      <w:pPr>
        <w:pStyle w:val="ListParagraph"/>
        <w:spacing w:line="360" w:lineRule="auto"/>
        <w:ind w:left="0" w:firstLine="720"/>
        <w:rPr>
          <w:szCs w:val="20"/>
        </w:rPr>
      </w:pPr>
      <w:r w:rsidRPr="000308BC">
        <w:rPr>
          <w:szCs w:val="20"/>
        </w:rPr>
        <w:t xml:space="preserve">Sesame is commonly known as “Till”. Its botanical name is </w:t>
      </w:r>
      <w:r w:rsidRPr="000308BC">
        <w:rPr>
          <w:i/>
          <w:szCs w:val="20"/>
        </w:rPr>
        <w:t>Sesamum indicum L.</w:t>
      </w:r>
      <w:r w:rsidRPr="000308BC">
        <w:rPr>
          <w:szCs w:val="20"/>
        </w:rPr>
        <w:t xml:space="preserve"> It is one of the earliest domesticated plants. Due to the presence of potent antioxidant, sesame seeds are known as “the seed of immortality”. Two distinct types of seed are recognized, the white and the black. There are also intermediate coloured varieties varying from red to rose or from brown or grey.</w:t>
      </w:r>
    </w:p>
    <w:p w:rsidR="000308BC" w:rsidRPr="000308BC" w:rsidRDefault="000308BC" w:rsidP="000308BC">
      <w:pPr>
        <w:autoSpaceDE w:val="0"/>
        <w:autoSpaceDN w:val="0"/>
        <w:adjustRightInd w:val="0"/>
        <w:spacing w:after="0" w:line="360" w:lineRule="auto"/>
        <w:ind w:firstLine="720"/>
        <w:rPr>
          <w:szCs w:val="20"/>
        </w:rPr>
      </w:pPr>
      <w:r w:rsidRPr="000308BC">
        <w:rPr>
          <w:szCs w:val="20"/>
        </w:rPr>
        <w:t>India is the foremost producer of oilseed crops in terms of area (26 million ha) and production (30 million tonnes) of oilseeds, in which 72% of the area is under rainfed condition. As per 4</w:t>
      </w:r>
      <w:r w:rsidRPr="000308BC">
        <w:rPr>
          <w:szCs w:val="20"/>
          <w:vertAlign w:val="superscript"/>
        </w:rPr>
        <w:t>th</w:t>
      </w:r>
      <w:r w:rsidRPr="000308BC">
        <w:rPr>
          <w:szCs w:val="20"/>
        </w:rPr>
        <w:t xml:space="preserve"> Advance Estimates Oilseeds Production in the country during 2017-18,</w:t>
      </w:r>
      <w:del w:id="10" w:author="admin" w:date="2021-01-26T07:39:00Z">
        <w:r w:rsidRPr="000308BC" w:rsidDel="004F44F6">
          <w:rPr>
            <w:szCs w:val="20"/>
          </w:rPr>
          <w:delText xml:space="preserve"> it</w:delText>
        </w:r>
      </w:del>
      <w:ins w:id="11" w:author="admin" w:date="2021-01-26T07:39:00Z">
        <w:r w:rsidR="004F44F6">
          <w:rPr>
            <w:szCs w:val="20"/>
          </w:rPr>
          <w:t>t</w:t>
        </w:r>
      </w:ins>
      <w:ins w:id="12" w:author="admin" w:date="2021-01-26T07:40:00Z">
        <w:r w:rsidR="004F44F6">
          <w:rPr>
            <w:szCs w:val="20"/>
          </w:rPr>
          <w:t>he production</w:t>
        </w:r>
      </w:ins>
      <w:r w:rsidRPr="000308BC">
        <w:rPr>
          <w:szCs w:val="20"/>
        </w:rPr>
        <w:t xml:space="preserve"> was estimated as 31.31 million tonnes which is marginally higher than the production of 31.28 million tonnes during 2016-17. However, the production of oilseeds during 2017-18 was higher by 1.76 million tonnes than the average </w:t>
      </w:r>
      <w:ins w:id="13" w:author="admin" w:date="2021-01-26T07:40:00Z">
        <w:r w:rsidR="004F44F6">
          <w:rPr>
            <w:szCs w:val="20"/>
          </w:rPr>
          <w:t xml:space="preserve">of </w:t>
        </w:r>
      </w:ins>
      <w:del w:id="14" w:author="admin" w:date="2021-01-26T07:40:00Z">
        <w:r w:rsidRPr="000308BC" w:rsidDel="004F44F6">
          <w:rPr>
            <w:szCs w:val="20"/>
          </w:rPr>
          <w:delText>(</w:delText>
        </w:r>
      </w:del>
      <w:r w:rsidRPr="000308BC">
        <w:rPr>
          <w:szCs w:val="20"/>
        </w:rPr>
        <w:t>2012-13 to 2016-17</w:t>
      </w:r>
      <w:del w:id="15" w:author="admin" w:date="2021-01-26T07:40:00Z">
        <w:r w:rsidRPr="000308BC" w:rsidDel="004F44F6">
          <w:rPr>
            <w:szCs w:val="20"/>
          </w:rPr>
          <w:delText>)</w:delText>
        </w:r>
      </w:del>
      <w:r w:rsidRPr="000308BC">
        <w:rPr>
          <w:szCs w:val="20"/>
        </w:rPr>
        <w:t xml:space="preserve">, </w:t>
      </w:r>
      <w:commentRangeStart w:id="16"/>
      <w:r w:rsidRPr="000308BC">
        <w:rPr>
          <w:szCs w:val="20"/>
        </w:rPr>
        <w:t>oilseeds production with a significant increase by 70.84 million tonnes over 2016 and 2017</w:t>
      </w:r>
      <w:commentRangeEnd w:id="16"/>
      <w:r w:rsidR="004F44F6">
        <w:rPr>
          <w:rStyle w:val="CommentReference"/>
        </w:rPr>
        <w:commentReference w:id="16"/>
      </w:r>
      <w:r w:rsidRPr="000308BC">
        <w:rPr>
          <w:szCs w:val="20"/>
        </w:rPr>
        <w:t xml:space="preserve">. The per capita consumption </w:t>
      </w:r>
      <w:del w:id="17" w:author="admin" w:date="2021-01-26T07:41:00Z">
        <w:r w:rsidRPr="000308BC" w:rsidDel="004F44F6">
          <w:rPr>
            <w:szCs w:val="20"/>
          </w:rPr>
          <w:delText xml:space="preserve">which </w:delText>
        </w:r>
      </w:del>
      <w:r w:rsidRPr="000308BC">
        <w:rPr>
          <w:szCs w:val="20"/>
        </w:rPr>
        <w:t xml:space="preserve">was 15.80 kg per person per annum during 2012-13 </w:t>
      </w:r>
      <w:ins w:id="18" w:author="admin" w:date="2021-01-26T07:41:00Z">
        <w:r w:rsidR="004F44F6">
          <w:rPr>
            <w:szCs w:val="20"/>
          </w:rPr>
          <w:t xml:space="preserve">nad has </w:t>
        </w:r>
      </w:ins>
      <w:r w:rsidRPr="000308BC">
        <w:rPr>
          <w:szCs w:val="20"/>
        </w:rPr>
        <w:t>increased to 19.30 kg per person in 2017-18. In addition, demand for edible oils in both quantity and quality is growing due to population growth, which was 1.21 billion in 2011, (Luna, 2011) and now reached above 1.25 billion</w:t>
      </w:r>
      <w:del w:id="19" w:author="admin" w:date="2021-01-26T07:41:00Z">
        <w:r w:rsidRPr="000308BC" w:rsidDel="004F44F6">
          <w:rPr>
            <w:szCs w:val="20"/>
          </w:rPr>
          <w:delText>,</w:delText>
        </w:r>
      </w:del>
      <w:r w:rsidRPr="000308BC">
        <w:rPr>
          <w:szCs w:val="20"/>
        </w:rPr>
        <w:t xml:space="preserve"> (Gupta, 2014). Considering the growing domestic demand for edible oils, it has now been planned to achieve a production of 45.64 million tonnes from nine annual oilseed crops by 2022-2023, expecting an additional production of about 15.58 million tonnes over and above the 30.06 million tonnes production during </w:t>
      </w:r>
      <w:commentRangeStart w:id="20"/>
      <w:r w:rsidRPr="000308BC">
        <w:rPr>
          <w:szCs w:val="20"/>
        </w:rPr>
        <w:t>QE</w:t>
      </w:r>
      <w:commentRangeEnd w:id="20"/>
      <w:r w:rsidR="004F44F6">
        <w:rPr>
          <w:rStyle w:val="CommentReference"/>
        </w:rPr>
        <w:commentReference w:id="20"/>
      </w:r>
      <w:r w:rsidRPr="000308BC">
        <w:rPr>
          <w:szCs w:val="20"/>
        </w:rPr>
        <w:t xml:space="preserve"> 2016-17. Thus, the availability of total vegetable oil from domestic production of nine annual oilseed crops would be about 13.69 million tonnes by 2022 (at 30 per cent recovery) as against the current annual output of about 7.0 million </w:t>
      </w:r>
      <w:del w:id="21" w:author="admin" w:date="2021-01-26T07:42:00Z">
        <w:r w:rsidRPr="000308BC" w:rsidDel="004F44F6">
          <w:rPr>
            <w:szCs w:val="20"/>
          </w:rPr>
          <w:delText>tonnes</w:delText>
        </w:r>
      </w:del>
      <w:ins w:id="22" w:author="admin" w:date="2021-01-26T07:42:00Z">
        <w:r w:rsidR="004F44F6">
          <w:rPr>
            <w:szCs w:val="20"/>
          </w:rPr>
          <w:t>tones</w:t>
        </w:r>
        <w:r w:rsidR="004F44F6">
          <w:rPr>
            <w:szCs w:val="20"/>
          </w:rPr>
          <w:t xml:space="preserve"> (REF?)</w:t>
        </w:r>
      </w:ins>
      <w:r w:rsidRPr="000308BC">
        <w:rPr>
          <w:szCs w:val="20"/>
        </w:rPr>
        <w:t>.</w:t>
      </w:r>
    </w:p>
    <w:p w:rsidR="000308BC" w:rsidRPr="000308BC" w:rsidRDefault="000308BC" w:rsidP="000308BC">
      <w:pPr>
        <w:autoSpaceDE w:val="0"/>
        <w:autoSpaceDN w:val="0"/>
        <w:adjustRightInd w:val="0"/>
        <w:spacing w:after="0"/>
        <w:rPr>
          <w:szCs w:val="20"/>
        </w:rPr>
      </w:pPr>
    </w:p>
    <w:p w:rsidR="000308BC" w:rsidRPr="000308BC" w:rsidRDefault="000308BC" w:rsidP="000308BC">
      <w:pPr>
        <w:autoSpaceDE w:val="0"/>
        <w:autoSpaceDN w:val="0"/>
        <w:adjustRightInd w:val="0"/>
        <w:spacing w:after="0" w:line="360" w:lineRule="auto"/>
        <w:ind w:firstLine="720"/>
        <w:rPr>
          <w:szCs w:val="20"/>
        </w:rPr>
      </w:pPr>
      <w:r w:rsidRPr="000308BC">
        <w:rPr>
          <w:szCs w:val="20"/>
        </w:rPr>
        <w:t xml:space="preserve">Among the oilseed crops, sesamum is one of the most important oil seed crops belonging to Pedaliaceae family and extensively grown in different parts of the world and it ranks fourth among oil seed crops in the world in terms of area of production. Sesamum is a versatile crop with a diversified use of </w:t>
      </w:r>
      <w:r w:rsidRPr="000308BC">
        <w:rPr>
          <w:szCs w:val="20"/>
        </w:rPr>
        <w:lastRenderedPageBreak/>
        <w:t xml:space="preserve">high-quality edible oils that contains vitamins, amino acids and polyunsaturated fatty acids. In sesamum seeds, linoleic and oleic acids are the prime factors which are responsible for oil consistency (Uzun </w:t>
      </w:r>
      <w:r w:rsidRPr="000308BC">
        <w:rPr>
          <w:i/>
          <w:szCs w:val="20"/>
        </w:rPr>
        <w:t>et al</w:t>
      </w:r>
      <w:r w:rsidRPr="000308BC">
        <w:rPr>
          <w:szCs w:val="20"/>
        </w:rPr>
        <w:t xml:space="preserve">., 2008). </w:t>
      </w:r>
    </w:p>
    <w:p w:rsidR="000308BC" w:rsidRPr="000308BC" w:rsidRDefault="000308BC" w:rsidP="000308BC">
      <w:pPr>
        <w:autoSpaceDE w:val="0"/>
        <w:autoSpaceDN w:val="0"/>
        <w:adjustRightInd w:val="0"/>
        <w:spacing w:after="0" w:line="360" w:lineRule="auto"/>
        <w:ind w:firstLine="720"/>
        <w:rPr>
          <w:szCs w:val="20"/>
        </w:rPr>
      </w:pPr>
      <w:r w:rsidRPr="000308BC">
        <w:rPr>
          <w:szCs w:val="20"/>
        </w:rPr>
        <w:t xml:space="preserve">Generally, Sulphur (S) requirement by crops is equal to that of phosphorus which plays a vital role in the plant metabolism, indispensable for the synthesis of essential oils (Singh </w:t>
      </w:r>
      <w:r w:rsidRPr="000308BC">
        <w:rPr>
          <w:i/>
          <w:szCs w:val="20"/>
        </w:rPr>
        <w:t>et al</w:t>
      </w:r>
      <w:r w:rsidRPr="000308BC">
        <w:rPr>
          <w:szCs w:val="20"/>
        </w:rPr>
        <w:t xml:space="preserve">., 2000), constituent of a number of organic compounds (Shamina and Imamul, 2013), oil storage organs particularly oil glands i.e., glyoxysomes (Jaggi </w:t>
      </w:r>
      <w:r w:rsidRPr="000308BC">
        <w:rPr>
          <w:i/>
          <w:szCs w:val="20"/>
        </w:rPr>
        <w:t>et al</w:t>
      </w:r>
      <w:r w:rsidRPr="000308BC">
        <w:rPr>
          <w:szCs w:val="20"/>
        </w:rPr>
        <w:t>., 2000) and vitamin B</w:t>
      </w:r>
      <w:r w:rsidRPr="000308BC">
        <w:rPr>
          <w:szCs w:val="20"/>
          <w:bdr w:val="none" w:sz="0" w:space="0" w:color="auto" w:frame="1"/>
          <w:vertAlign w:val="subscript"/>
        </w:rPr>
        <w:t>1</w:t>
      </w:r>
      <w:r w:rsidRPr="000308BC">
        <w:rPr>
          <w:szCs w:val="20"/>
        </w:rPr>
        <w:t xml:space="preserve"> (Thirumalaisamy </w:t>
      </w:r>
      <w:r w:rsidRPr="000308BC">
        <w:rPr>
          <w:i/>
          <w:szCs w:val="20"/>
        </w:rPr>
        <w:t>et al</w:t>
      </w:r>
      <w:r w:rsidRPr="000308BC">
        <w:rPr>
          <w:szCs w:val="20"/>
        </w:rPr>
        <w:t xml:space="preserve">., 2001). It also serves as a component of plant amino acids, proteins, vitamins and enzyme structures. It has been observed that increasing sulphur application increases oil content and oil yield, protein and glucosinolates of canola seeds (Haneklaus </w:t>
      </w:r>
      <w:r w:rsidRPr="000308BC">
        <w:rPr>
          <w:i/>
          <w:szCs w:val="20"/>
        </w:rPr>
        <w:t>et al</w:t>
      </w:r>
      <w:r w:rsidRPr="000308BC">
        <w:rPr>
          <w:szCs w:val="20"/>
        </w:rPr>
        <w:t xml:space="preserve">., 1999). Sulphur </w:t>
      </w:r>
      <w:del w:id="23" w:author="admin" w:date="2021-01-26T07:43:00Z">
        <w:r w:rsidRPr="000308BC" w:rsidDel="00C33205">
          <w:rPr>
            <w:szCs w:val="20"/>
          </w:rPr>
          <w:delText>has been reported to i</w:delText>
        </w:r>
      </w:del>
      <w:ins w:id="24" w:author="admin" w:date="2021-01-26T07:43:00Z">
        <w:r w:rsidR="00C33205">
          <w:rPr>
            <w:szCs w:val="20"/>
          </w:rPr>
          <w:t xml:space="preserve">also </w:t>
        </w:r>
      </w:ins>
      <w:r w:rsidRPr="000308BC">
        <w:rPr>
          <w:szCs w:val="20"/>
        </w:rPr>
        <w:t xml:space="preserve">nfluence the productivity of oil seed and total oil content (Egesel </w:t>
      </w:r>
      <w:r w:rsidRPr="000308BC">
        <w:rPr>
          <w:i/>
          <w:szCs w:val="20"/>
        </w:rPr>
        <w:t>et al</w:t>
      </w:r>
      <w:r w:rsidRPr="000308BC">
        <w:rPr>
          <w:szCs w:val="20"/>
        </w:rPr>
        <w:t>., 2009). In addition, the continuous application of NPK fertilizers contributes to a sulfur deficiency along with a great deal of organic matter deficiency, making the situation worse for oilseed crops. In view of the aforesaid background, the present study was taken up to trace the optimum level of sulfur recommendation for yield maximization and quality improvement in sesamum.</w:t>
      </w:r>
    </w:p>
    <w:p w:rsidR="005B40BE" w:rsidRPr="009236BC" w:rsidRDefault="005B40BE" w:rsidP="006623E0"/>
    <w:p w:rsidR="00142125" w:rsidRDefault="003D7E78" w:rsidP="00EF0F1C">
      <w:pPr>
        <w:pStyle w:val="Heading2"/>
      </w:pPr>
      <w:r w:rsidRPr="0038664F">
        <w:t>MATERIAL AND METHODS</w:t>
      </w:r>
    </w:p>
    <w:p w:rsidR="000308BC" w:rsidRPr="00D14D38" w:rsidRDefault="000308BC" w:rsidP="000308BC">
      <w:pPr>
        <w:spacing w:after="0"/>
        <w:rPr>
          <w:sz w:val="24"/>
          <w:szCs w:val="24"/>
        </w:rPr>
      </w:pPr>
    </w:p>
    <w:p w:rsidR="000308BC" w:rsidRPr="000308BC" w:rsidRDefault="000308BC" w:rsidP="000308BC">
      <w:pPr>
        <w:spacing w:after="0" w:line="360" w:lineRule="auto"/>
        <w:ind w:firstLine="360"/>
        <w:rPr>
          <w:szCs w:val="20"/>
        </w:rPr>
      </w:pPr>
      <w:r w:rsidRPr="000308BC">
        <w:rPr>
          <w:szCs w:val="20"/>
        </w:rPr>
        <w:t xml:space="preserve">Two field experiments were conducted at two different locations of Coimbatore district in soils having two sulphur status </w:t>
      </w:r>
      <w:r w:rsidRPr="000308BC">
        <w:rPr>
          <w:i/>
          <w:szCs w:val="20"/>
        </w:rPr>
        <w:t>i.e.,</w:t>
      </w:r>
      <w:r w:rsidRPr="000308BC">
        <w:rPr>
          <w:szCs w:val="20"/>
        </w:rPr>
        <w:t xml:space="preserve"> a soil with sufficient level and soil with deficient level of sulphur in order to study the response of two sesamum varieties to graded doses of sulphur with respect to seed yield and quality.</w:t>
      </w:r>
      <w:r w:rsidRPr="000308BC">
        <w:rPr>
          <w:bCs/>
          <w:szCs w:val="20"/>
        </w:rPr>
        <w:t xml:space="preserve"> The field experiments were conducted at farmers’ holdings in </w:t>
      </w:r>
      <w:r w:rsidRPr="000308BC">
        <w:rPr>
          <w:szCs w:val="20"/>
        </w:rPr>
        <w:t>Selambanur   (Latitude: 10.995069 and Longitude: 76.788893) and Puthur (Latitude: 10.979436 and Longitude: 76.836387) villages of Thondamuthur block at Coimbatore district from February, 2019 to July,</w:t>
      </w:r>
      <w:ins w:id="25" w:author="admin" w:date="2021-01-26T07:44:00Z">
        <w:r w:rsidR="00C33205">
          <w:rPr>
            <w:szCs w:val="20"/>
          </w:rPr>
          <w:t xml:space="preserve"> </w:t>
        </w:r>
      </w:ins>
      <w:r w:rsidRPr="000308BC">
        <w:rPr>
          <w:szCs w:val="20"/>
        </w:rPr>
        <w:t>2019 and March,</w:t>
      </w:r>
      <w:ins w:id="26" w:author="admin" w:date="2021-01-26T07:44:00Z">
        <w:r w:rsidR="00C33205">
          <w:rPr>
            <w:szCs w:val="20"/>
          </w:rPr>
          <w:t xml:space="preserve"> </w:t>
        </w:r>
      </w:ins>
      <w:r w:rsidRPr="000308BC">
        <w:rPr>
          <w:szCs w:val="20"/>
        </w:rPr>
        <w:t>2019 to August,</w:t>
      </w:r>
      <w:ins w:id="27" w:author="admin" w:date="2021-01-26T07:44:00Z">
        <w:r w:rsidR="00C33205">
          <w:rPr>
            <w:szCs w:val="20"/>
          </w:rPr>
          <w:t xml:space="preserve"> </w:t>
        </w:r>
      </w:ins>
      <w:r w:rsidRPr="000308BC">
        <w:rPr>
          <w:szCs w:val="20"/>
        </w:rPr>
        <w:t>2019 respectively. The treatment structure comprised of six levels of sulphur using gypsum as the source (0, 20, 30, 40, 50 and 60 kg S ha</w:t>
      </w:r>
      <w:r w:rsidRPr="000308BC">
        <w:rPr>
          <w:szCs w:val="20"/>
          <w:vertAlign w:val="superscript"/>
        </w:rPr>
        <w:t>-1</w:t>
      </w:r>
      <w:r w:rsidRPr="000308BC">
        <w:rPr>
          <w:szCs w:val="20"/>
        </w:rPr>
        <w:t>) along with soil test based fertilizer doses which were replicated three times in a split plot design (Main plot – sesamum varieties, Sub plot- S levels). The data on yield parameters, seed yield and oil content were analyzed statistically using the AgRes statistical software (Pascal Intel Software Solutions). Wherever the treatment differences were found significant, critical differences (CD) were worked out at 5% level of significance with mean separation by least significant difference and denoted by symbol (* for 5% and ** for 1%). Simple correlation was worked out between different parameters to know the relationship exists among them (Gomez and Gomez, 1984).</w:t>
      </w:r>
    </w:p>
    <w:p w:rsidR="00A64E91" w:rsidRPr="00757CC1" w:rsidRDefault="003D7E78" w:rsidP="00757CC1">
      <w:pPr>
        <w:pStyle w:val="Heading2"/>
      </w:pPr>
      <w:r w:rsidRPr="00E34B68">
        <w:t xml:space="preserve">RESULTS AND </w:t>
      </w:r>
      <w:r>
        <w:t>DISCUSSION</w:t>
      </w:r>
    </w:p>
    <w:p w:rsidR="000308BC" w:rsidRDefault="000308BC" w:rsidP="00757CC1">
      <w:pPr>
        <w:spacing w:after="0" w:line="360" w:lineRule="auto"/>
        <w:rPr>
          <w:szCs w:val="20"/>
        </w:rPr>
      </w:pPr>
      <w:r w:rsidRPr="00757CC1">
        <w:rPr>
          <w:b/>
          <w:szCs w:val="20"/>
        </w:rPr>
        <w:t xml:space="preserve">Test weight: </w:t>
      </w:r>
      <w:r w:rsidRPr="00757CC1">
        <w:rPr>
          <w:szCs w:val="20"/>
        </w:rPr>
        <w:t>Statistically significant variations were recorded for sulphur application with respect to test weight of sesame seeds. The test weight of sesamum varieties with 50 kg S ha</w:t>
      </w:r>
      <w:r w:rsidRPr="00757CC1">
        <w:rPr>
          <w:szCs w:val="20"/>
          <w:vertAlign w:val="superscript"/>
        </w:rPr>
        <w:t>-1</w:t>
      </w:r>
      <w:r w:rsidRPr="00757CC1">
        <w:rPr>
          <w:szCs w:val="20"/>
        </w:rPr>
        <w:t xml:space="preserve"> </w:t>
      </w:r>
      <w:del w:id="28" w:author="admin" w:date="2021-01-26T07:46:00Z">
        <w:r w:rsidRPr="00757CC1" w:rsidDel="00C33205">
          <w:rPr>
            <w:szCs w:val="20"/>
          </w:rPr>
          <w:delText xml:space="preserve">which </w:delText>
        </w:r>
      </w:del>
      <w:r w:rsidRPr="00757CC1">
        <w:rPr>
          <w:szCs w:val="20"/>
        </w:rPr>
        <w:t>was on par with 40 and 30 kg S ha</w:t>
      </w:r>
      <w:r w:rsidRPr="00757CC1">
        <w:rPr>
          <w:szCs w:val="20"/>
          <w:vertAlign w:val="superscript"/>
        </w:rPr>
        <w:t>-1</w:t>
      </w:r>
      <w:r w:rsidRPr="00757CC1">
        <w:rPr>
          <w:szCs w:val="20"/>
        </w:rPr>
        <w:t xml:space="preserve"> </w:t>
      </w:r>
      <w:ins w:id="29" w:author="admin" w:date="2021-01-26T07:46:00Z">
        <w:r w:rsidR="00C33205">
          <w:rPr>
            <w:szCs w:val="20"/>
          </w:rPr>
          <w:t xml:space="preserve">levels </w:t>
        </w:r>
      </w:ins>
      <w:r w:rsidRPr="00757CC1">
        <w:rPr>
          <w:szCs w:val="20"/>
        </w:rPr>
        <w:t xml:space="preserve">in case of sulphur sufficient soil. Where as in the case of sulphur deficient soil the highest test weight of 3.51 g (TMV 7) and 3.45 g </w:t>
      </w:r>
      <w:r w:rsidR="00757CC1">
        <w:rPr>
          <w:szCs w:val="20"/>
        </w:rPr>
        <w:t xml:space="preserve"> </w:t>
      </w:r>
      <w:r w:rsidRPr="00757CC1">
        <w:rPr>
          <w:szCs w:val="20"/>
        </w:rPr>
        <w:t>(SVPR 1) were recorded by applying 50 kg S ha</w:t>
      </w:r>
      <w:r w:rsidRPr="00757CC1">
        <w:rPr>
          <w:szCs w:val="20"/>
          <w:vertAlign w:val="superscript"/>
        </w:rPr>
        <w:t xml:space="preserve">-1 </w:t>
      </w:r>
      <w:r w:rsidRPr="00757CC1">
        <w:rPr>
          <w:szCs w:val="20"/>
        </w:rPr>
        <w:t xml:space="preserve">which was significantly higher than all the other treatments. Among the varieties, TMV 7 has recorded the highest test weight and proved to be best responding variety than SVPR 1 (Table 1).  The increase in test weight might be due to the role of sulphur in activating the growth and yield components (Tahir </w:t>
      </w:r>
      <w:r w:rsidRPr="00757CC1">
        <w:rPr>
          <w:i/>
          <w:szCs w:val="20"/>
        </w:rPr>
        <w:t>et al.,</w:t>
      </w:r>
      <w:r w:rsidRPr="00757CC1">
        <w:rPr>
          <w:szCs w:val="20"/>
        </w:rPr>
        <w:t>2014)</w:t>
      </w:r>
      <w:ins w:id="30" w:author="admin" w:date="2021-01-26T07:47:00Z">
        <w:r w:rsidR="00C33205">
          <w:rPr>
            <w:szCs w:val="20"/>
          </w:rPr>
          <w:t>;</w:t>
        </w:r>
      </w:ins>
      <w:del w:id="31" w:author="admin" w:date="2021-01-26T07:47:00Z">
        <w:r w:rsidRPr="00757CC1" w:rsidDel="00C33205">
          <w:rPr>
            <w:szCs w:val="20"/>
          </w:rPr>
          <w:delText>, (</w:delText>
        </w:r>
      </w:del>
      <w:r w:rsidRPr="00757CC1">
        <w:rPr>
          <w:szCs w:val="20"/>
        </w:rPr>
        <w:t xml:space="preserve">Ojoni </w:t>
      </w:r>
      <w:r w:rsidRPr="00757CC1">
        <w:rPr>
          <w:i/>
          <w:szCs w:val="20"/>
        </w:rPr>
        <w:t xml:space="preserve">et al., </w:t>
      </w:r>
      <w:r w:rsidRPr="00757CC1">
        <w:rPr>
          <w:szCs w:val="20"/>
        </w:rPr>
        <w:t>2018).</w:t>
      </w:r>
    </w:p>
    <w:p w:rsidR="00757CC1" w:rsidRDefault="00757CC1" w:rsidP="00757CC1">
      <w:pPr>
        <w:spacing w:after="0" w:line="360" w:lineRule="auto"/>
        <w:rPr>
          <w:szCs w:val="20"/>
        </w:rPr>
      </w:pPr>
    </w:p>
    <w:p w:rsidR="00757CC1" w:rsidRDefault="00757CC1" w:rsidP="00757CC1">
      <w:pPr>
        <w:spacing w:after="0" w:line="360" w:lineRule="auto"/>
        <w:rPr>
          <w:szCs w:val="20"/>
        </w:rPr>
      </w:pPr>
      <w:r w:rsidRPr="00757CC1">
        <w:rPr>
          <w:b/>
          <w:szCs w:val="20"/>
        </w:rPr>
        <w:lastRenderedPageBreak/>
        <w:t xml:space="preserve">Seed yield: </w:t>
      </w:r>
      <w:r w:rsidRPr="00757CC1">
        <w:rPr>
          <w:szCs w:val="20"/>
        </w:rPr>
        <w:t>The effect due to varieties, sulphur levels and their interactions were prominent in case of seed yield (Table 2). Among the different S levels, in sulphur sufficient soil, the seed yield of varieties were significantly higher by applying 30 kg S ha</w:t>
      </w:r>
      <w:r w:rsidRPr="00757CC1">
        <w:rPr>
          <w:szCs w:val="20"/>
          <w:vertAlign w:val="superscript"/>
        </w:rPr>
        <w:t>-1</w:t>
      </w:r>
      <w:r w:rsidRPr="00757CC1">
        <w:rPr>
          <w:szCs w:val="20"/>
        </w:rPr>
        <w:t xml:space="preserve"> which was </w:t>
      </w:r>
      <w:r w:rsidRPr="00757CC1">
        <w:rPr>
          <w:i/>
          <w:szCs w:val="20"/>
        </w:rPr>
        <w:t>on par</w:t>
      </w:r>
      <w:r w:rsidRPr="00757CC1">
        <w:rPr>
          <w:szCs w:val="20"/>
        </w:rPr>
        <w:t xml:space="preserve"> with 40, and 50 kg S ha</w:t>
      </w:r>
      <w:r w:rsidRPr="00757CC1">
        <w:rPr>
          <w:szCs w:val="20"/>
          <w:vertAlign w:val="superscript"/>
        </w:rPr>
        <w:t>-1</w:t>
      </w:r>
      <w:r w:rsidRPr="00757CC1">
        <w:rPr>
          <w:szCs w:val="20"/>
        </w:rPr>
        <w:t>, however application of 60 kg S ha</w:t>
      </w:r>
      <w:r w:rsidRPr="00757CC1">
        <w:rPr>
          <w:szCs w:val="20"/>
          <w:vertAlign w:val="superscript"/>
        </w:rPr>
        <w:t xml:space="preserve">-1 </w:t>
      </w:r>
      <w:r w:rsidRPr="00757CC1">
        <w:rPr>
          <w:szCs w:val="20"/>
        </w:rPr>
        <w:t>showed and decreasing level of seed yield. Where as in case of sulphur deficient soil, the highest seed yield was recorded with the application of 50 kg S ha</w:t>
      </w:r>
      <w:r w:rsidRPr="00757CC1">
        <w:rPr>
          <w:szCs w:val="20"/>
          <w:vertAlign w:val="superscript"/>
        </w:rPr>
        <w:t>-1</w:t>
      </w:r>
      <w:r w:rsidRPr="00757CC1">
        <w:rPr>
          <w:szCs w:val="20"/>
        </w:rPr>
        <w:t xml:space="preserve"> irrespective of the varieties. Considering the varietal effects, TMV 7 has proven to be the best responding variety than SVPR 1. The increase in seed yield might be due to the reason that sulfur promotes the photosynthesis, net assimilation rate and crop growth rate which resulted in higher seed yield (Tahir </w:t>
      </w:r>
      <w:r w:rsidRPr="00757CC1">
        <w:rPr>
          <w:i/>
          <w:szCs w:val="20"/>
        </w:rPr>
        <w:t xml:space="preserve">et al., </w:t>
      </w:r>
      <w:del w:id="32" w:author="admin" w:date="2021-01-26T07:48:00Z">
        <w:r w:rsidRPr="00757CC1" w:rsidDel="00C33205">
          <w:rPr>
            <w:i/>
            <w:szCs w:val="20"/>
          </w:rPr>
          <w:delText>(</w:delText>
        </w:r>
      </w:del>
      <w:r w:rsidRPr="00757CC1">
        <w:rPr>
          <w:szCs w:val="20"/>
        </w:rPr>
        <w:t>2014</w:t>
      </w:r>
      <w:del w:id="33" w:author="admin" w:date="2021-01-26T07:48:00Z">
        <w:r w:rsidRPr="00757CC1" w:rsidDel="00C33205">
          <w:rPr>
            <w:szCs w:val="20"/>
          </w:rPr>
          <w:delText xml:space="preserve">) </w:delText>
        </w:r>
      </w:del>
      <w:r w:rsidRPr="00757CC1">
        <w:rPr>
          <w:szCs w:val="20"/>
        </w:rPr>
        <w:t xml:space="preserve">; Suchhanda </w:t>
      </w:r>
      <w:r w:rsidRPr="00757CC1">
        <w:rPr>
          <w:i/>
          <w:szCs w:val="20"/>
        </w:rPr>
        <w:t>et al.</w:t>
      </w:r>
      <w:r w:rsidRPr="00757CC1">
        <w:rPr>
          <w:szCs w:val="20"/>
        </w:rPr>
        <w:t>,</w:t>
      </w:r>
      <w:del w:id="34" w:author="admin" w:date="2021-01-26T07:48:00Z">
        <w:r w:rsidRPr="00757CC1" w:rsidDel="00C33205">
          <w:rPr>
            <w:szCs w:val="20"/>
          </w:rPr>
          <w:delText>(</w:delText>
        </w:r>
      </w:del>
      <w:r w:rsidRPr="00757CC1">
        <w:rPr>
          <w:szCs w:val="20"/>
        </w:rPr>
        <w:t xml:space="preserve"> 2016</w:t>
      </w:r>
      <w:del w:id="35" w:author="admin" w:date="2021-01-26T07:48:00Z">
        <w:r w:rsidRPr="00757CC1" w:rsidDel="00C33205">
          <w:rPr>
            <w:szCs w:val="20"/>
          </w:rPr>
          <w:delText>)</w:delText>
        </w:r>
      </w:del>
      <w:r w:rsidRPr="00757CC1">
        <w:rPr>
          <w:szCs w:val="20"/>
        </w:rPr>
        <w:t>).</w:t>
      </w:r>
    </w:p>
    <w:p w:rsidR="00757CC1" w:rsidRPr="00757CC1" w:rsidRDefault="00757CC1" w:rsidP="00757CC1">
      <w:pPr>
        <w:spacing w:after="0" w:line="360" w:lineRule="auto"/>
        <w:rPr>
          <w:szCs w:val="20"/>
        </w:rPr>
      </w:pPr>
      <w:r w:rsidRPr="00757CC1">
        <w:rPr>
          <w:b/>
          <w:szCs w:val="20"/>
        </w:rPr>
        <w:t xml:space="preserve">Stalk yield: </w:t>
      </w:r>
      <w:r w:rsidRPr="00757CC1">
        <w:rPr>
          <w:szCs w:val="20"/>
        </w:rPr>
        <w:t xml:space="preserve"> The stalk yield of sesamum was significantly influenced by graded levels of sulphur application (Table 3). In sulphur sufficient soil, the stalk yield has shown a significant increase </w:t>
      </w:r>
      <w:del w:id="36" w:author="admin" w:date="2021-01-26T07:49:00Z">
        <w:r w:rsidRPr="00757CC1" w:rsidDel="00C33205">
          <w:rPr>
            <w:szCs w:val="20"/>
          </w:rPr>
          <w:delText>by applying</w:delText>
        </w:r>
      </w:del>
      <w:ins w:id="37" w:author="admin" w:date="2021-01-26T07:49:00Z">
        <w:r w:rsidR="00C33205">
          <w:rPr>
            <w:szCs w:val="20"/>
          </w:rPr>
          <w:t>with</w:t>
        </w:r>
      </w:ins>
      <w:r w:rsidRPr="00757CC1">
        <w:rPr>
          <w:szCs w:val="20"/>
        </w:rPr>
        <w:t xml:space="preserve"> sulphur at the rate of 30 kg S ha</w:t>
      </w:r>
      <w:r w:rsidRPr="00757CC1">
        <w:rPr>
          <w:szCs w:val="20"/>
          <w:vertAlign w:val="superscript"/>
        </w:rPr>
        <w:t>-1</w:t>
      </w:r>
      <w:ins w:id="38" w:author="admin" w:date="2021-01-26T07:49:00Z">
        <w:r w:rsidR="00C33205">
          <w:rPr>
            <w:szCs w:val="20"/>
          </w:rPr>
          <w:t xml:space="preserve">. </w:t>
        </w:r>
      </w:ins>
      <w:del w:id="39" w:author="admin" w:date="2021-01-26T07:49:00Z">
        <w:r w:rsidRPr="00757CC1" w:rsidDel="00C33205">
          <w:rPr>
            <w:szCs w:val="20"/>
          </w:rPr>
          <w:delText>,on f</w:delText>
        </w:r>
      </w:del>
      <w:ins w:id="40" w:author="admin" w:date="2021-01-26T07:49:00Z">
        <w:r w:rsidR="00C33205">
          <w:rPr>
            <w:szCs w:val="20"/>
          </w:rPr>
          <w:t>F</w:t>
        </w:r>
      </w:ins>
      <w:r w:rsidRPr="00757CC1">
        <w:rPr>
          <w:szCs w:val="20"/>
        </w:rPr>
        <w:t xml:space="preserve">urther increase of sulphur application, </w:t>
      </w:r>
      <w:del w:id="41" w:author="admin" w:date="2021-01-26T07:49:00Z">
        <w:r w:rsidRPr="00757CC1" w:rsidDel="00C33205">
          <w:rPr>
            <w:szCs w:val="20"/>
          </w:rPr>
          <w:delText>the</w:delText>
        </w:r>
      </w:del>
      <w:ins w:id="42" w:author="admin" w:date="2021-01-26T07:49:00Z">
        <w:r w:rsidR="00C33205">
          <w:rPr>
            <w:szCs w:val="20"/>
          </w:rPr>
          <w:t xml:space="preserve">didnot </w:t>
        </w:r>
      </w:ins>
      <w:del w:id="43" w:author="admin" w:date="2021-01-26T07:49:00Z">
        <w:r w:rsidRPr="00757CC1" w:rsidDel="00C33205">
          <w:rPr>
            <w:szCs w:val="20"/>
          </w:rPr>
          <w:delText xml:space="preserve"> </w:delText>
        </w:r>
      </w:del>
      <w:r w:rsidRPr="00757CC1">
        <w:rPr>
          <w:szCs w:val="20"/>
        </w:rPr>
        <w:t>increase</w:t>
      </w:r>
      <w:ins w:id="44" w:author="admin" w:date="2021-01-26T07:49:00Z">
        <w:r w:rsidR="00C33205">
          <w:rPr>
            <w:szCs w:val="20"/>
          </w:rPr>
          <w:t>d</w:t>
        </w:r>
      </w:ins>
      <w:r w:rsidRPr="00757CC1">
        <w:rPr>
          <w:szCs w:val="20"/>
        </w:rPr>
        <w:t xml:space="preserve"> </w:t>
      </w:r>
      <w:del w:id="45" w:author="admin" w:date="2021-01-26T07:49:00Z">
        <w:r w:rsidRPr="00757CC1" w:rsidDel="00C33205">
          <w:rPr>
            <w:szCs w:val="20"/>
          </w:rPr>
          <w:delText xml:space="preserve">in </w:delText>
        </w:r>
      </w:del>
      <w:ins w:id="46" w:author="admin" w:date="2021-01-26T07:49:00Z">
        <w:r w:rsidR="00C33205">
          <w:rPr>
            <w:szCs w:val="20"/>
          </w:rPr>
          <w:t xml:space="preserve">the </w:t>
        </w:r>
      </w:ins>
      <w:r w:rsidRPr="00757CC1">
        <w:rPr>
          <w:szCs w:val="20"/>
        </w:rPr>
        <w:t xml:space="preserve">yield </w:t>
      </w:r>
      <w:del w:id="47" w:author="admin" w:date="2021-01-26T07:49:00Z">
        <w:r w:rsidRPr="00757CC1" w:rsidDel="00C33205">
          <w:rPr>
            <w:szCs w:val="20"/>
          </w:rPr>
          <w:delText xml:space="preserve">was not </w:delText>
        </w:r>
      </w:del>
      <w:r w:rsidRPr="00757CC1">
        <w:rPr>
          <w:szCs w:val="20"/>
        </w:rPr>
        <w:t>significant</w:t>
      </w:r>
      <w:ins w:id="48" w:author="admin" w:date="2021-01-26T07:49:00Z">
        <w:r w:rsidR="00C33205">
          <w:rPr>
            <w:szCs w:val="20"/>
          </w:rPr>
          <w:t>ly</w:t>
        </w:r>
      </w:ins>
      <w:r w:rsidRPr="00757CC1">
        <w:rPr>
          <w:szCs w:val="20"/>
        </w:rPr>
        <w:t>. However in case of sulphur deficient soil, significant increase in stalk yield was recorded upto 50 kg S ha</w:t>
      </w:r>
      <w:r w:rsidRPr="00757CC1">
        <w:rPr>
          <w:szCs w:val="20"/>
          <w:vertAlign w:val="superscript"/>
        </w:rPr>
        <w:t>-1</w:t>
      </w:r>
      <w:r w:rsidRPr="00757CC1">
        <w:rPr>
          <w:szCs w:val="20"/>
        </w:rPr>
        <w:t xml:space="preserve"> with a yield of 3249 and 3205 kg ha</w:t>
      </w:r>
      <w:r w:rsidRPr="00757CC1">
        <w:rPr>
          <w:szCs w:val="20"/>
          <w:vertAlign w:val="superscript"/>
        </w:rPr>
        <w:t>-1</w:t>
      </w:r>
      <w:r w:rsidRPr="00757CC1">
        <w:rPr>
          <w:szCs w:val="20"/>
        </w:rPr>
        <w:t xml:space="preserve">. Among the varieties, TMV 7 has recorded the highest stalk yield than that of SVPR 1. Similar </w:t>
      </w:r>
      <w:del w:id="49" w:author="admin" w:date="2021-01-26T07:50:00Z">
        <w:r w:rsidRPr="00757CC1" w:rsidDel="00C33205">
          <w:rPr>
            <w:szCs w:val="20"/>
          </w:rPr>
          <w:delText>increase in stalk yield have</w:delText>
        </w:r>
      </w:del>
      <w:ins w:id="50" w:author="admin" w:date="2021-01-26T07:50:00Z">
        <w:r w:rsidR="00C33205" w:rsidRPr="00757CC1">
          <w:rPr>
            <w:szCs w:val="20"/>
          </w:rPr>
          <w:t>increase in stalk yield has</w:t>
        </w:r>
      </w:ins>
      <w:r w:rsidRPr="00757CC1">
        <w:rPr>
          <w:szCs w:val="20"/>
        </w:rPr>
        <w:t xml:space="preserve"> been reported by Suchhanda </w:t>
      </w:r>
      <w:r w:rsidRPr="00757CC1">
        <w:rPr>
          <w:i/>
          <w:szCs w:val="20"/>
        </w:rPr>
        <w:t>et al.</w:t>
      </w:r>
      <w:r w:rsidRPr="00757CC1">
        <w:rPr>
          <w:szCs w:val="20"/>
        </w:rPr>
        <w:t xml:space="preserve"> (2016) and Ojoni </w:t>
      </w:r>
      <w:r w:rsidRPr="00757CC1">
        <w:rPr>
          <w:i/>
          <w:szCs w:val="20"/>
        </w:rPr>
        <w:t>et al. (</w:t>
      </w:r>
      <w:r w:rsidRPr="00757CC1">
        <w:rPr>
          <w:szCs w:val="20"/>
        </w:rPr>
        <w:t>2018).</w:t>
      </w:r>
    </w:p>
    <w:p w:rsidR="00757CC1" w:rsidRPr="00757CC1" w:rsidRDefault="00757CC1" w:rsidP="00757CC1">
      <w:pPr>
        <w:spacing w:after="0" w:line="360" w:lineRule="auto"/>
        <w:rPr>
          <w:b/>
          <w:szCs w:val="20"/>
        </w:rPr>
      </w:pPr>
      <w:r w:rsidRPr="00757CC1">
        <w:rPr>
          <w:b/>
          <w:szCs w:val="20"/>
        </w:rPr>
        <w:t xml:space="preserve">Oil content: </w:t>
      </w:r>
      <w:r w:rsidRPr="00757CC1">
        <w:rPr>
          <w:szCs w:val="20"/>
        </w:rPr>
        <w:t xml:space="preserve">The oil content of different varieties was significantly influenced by </w:t>
      </w:r>
      <w:ins w:id="51" w:author="admin" w:date="2021-01-26T07:50:00Z">
        <w:r w:rsidR="00C33205">
          <w:rPr>
            <w:szCs w:val="20"/>
          </w:rPr>
          <w:t xml:space="preserve">the </w:t>
        </w:r>
      </w:ins>
      <w:r w:rsidRPr="00757CC1">
        <w:rPr>
          <w:szCs w:val="20"/>
        </w:rPr>
        <w:t>graded levels of sulphur application (Fig. 1). In sulphur sufficient soil, the oil content has shown a significant increase by applying sulphur up to 30 kg S ha</w:t>
      </w:r>
      <w:del w:id="52" w:author="admin" w:date="2021-01-26T07:50:00Z">
        <w:r w:rsidRPr="00757CC1" w:rsidDel="00C33205">
          <w:rPr>
            <w:szCs w:val="20"/>
            <w:vertAlign w:val="superscript"/>
          </w:rPr>
          <w:delText>-</w:delText>
        </w:r>
      </w:del>
      <w:r w:rsidRPr="00757CC1">
        <w:rPr>
          <w:szCs w:val="20"/>
          <w:vertAlign w:val="superscript"/>
        </w:rPr>
        <w:t>1</w:t>
      </w:r>
      <w:del w:id="53" w:author="admin" w:date="2021-01-26T07:50:00Z">
        <w:r w:rsidRPr="00757CC1" w:rsidDel="00C33205">
          <w:rPr>
            <w:szCs w:val="20"/>
          </w:rPr>
          <w:delText>,</w:delText>
        </w:r>
      </w:del>
      <w:r w:rsidRPr="00757CC1">
        <w:rPr>
          <w:szCs w:val="20"/>
        </w:rPr>
        <w:t xml:space="preserve"> </w:t>
      </w:r>
      <w:del w:id="54" w:author="admin" w:date="2021-01-26T07:50:00Z">
        <w:r w:rsidRPr="00757CC1" w:rsidDel="00C33205">
          <w:rPr>
            <w:szCs w:val="20"/>
          </w:rPr>
          <w:delText xml:space="preserve">further increase of sulphur application </w:delText>
        </w:r>
      </w:del>
      <w:r w:rsidRPr="00757CC1">
        <w:rPr>
          <w:szCs w:val="20"/>
        </w:rPr>
        <w:t>the increase in oil content was not significant</w:t>
      </w:r>
      <w:ins w:id="55" w:author="admin" w:date="2021-01-26T07:50:00Z">
        <w:r w:rsidR="00C33205">
          <w:rPr>
            <w:szCs w:val="20"/>
          </w:rPr>
          <w:t xml:space="preserve"> with </w:t>
        </w:r>
        <w:r w:rsidR="00C33205" w:rsidRPr="00757CC1">
          <w:rPr>
            <w:szCs w:val="20"/>
          </w:rPr>
          <w:t>further increase of sulphur application</w:t>
        </w:r>
      </w:ins>
      <w:r w:rsidRPr="00757CC1">
        <w:rPr>
          <w:szCs w:val="20"/>
        </w:rPr>
        <w:t>. However, in case of sulphur deficient soil, significant increase in oil content was recorded up to 50 kg S ha</w:t>
      </w:r>
      <w:r w:rsidRPr="00757CC1">
        <w:rPr>
          <w:szCs w:val="20"/>
          <w:vertAlign w:val="superscript"/>
        </w:rPr>
        <w:t>-1</w:t>
      </w:r>
      <w:r w:rsidRPr="00757CC1">
        <w:rPr>
          <w:szCs w:val="20"/>
        </w:rPr>
        <w:t xml:space="preserve"> with a yield of 49.90 per cent and 52.30 per cent respectively for TMV 7 and SVPR 1. Among the varieties, SVPR 1 has shown increased oil content. This might be due to the importance of sulphur playing a </w:t>
      </w:r>
      <w:commentRangeStart w:id="56"/>
      <w:r w:rsidRPr="00757CC1">
        <w:rPr>
          <w:szCs w:val="20"/>
        </w:rPr>
        <w:t>vital role in the synthesis of essential amino acids like cysteine, cysteine, methionine and certain vitamins like biotin, thiamine, vitamin B</w:t>
      </w:r>
      <w:r w:rsidRPr="00757CC1">
        <w:rPr>
          <w:szCs w:val="20"/>
          <w:vertAlign w:val="subscript"/>
        </w:rPr>
        <w:t>1</w:t>
      </w:r>
      <w:r w:rsidRPr="00757CC1">
        <w:rPr>
          <w:szCs w:val="20"/>
        </w:rPr>
        <w:t xml:space="preserve"> as well as formation of ferredoxin an iron-containing plant protein that acts as an electron carrier in the photosynthetic process and chlorophyll which is required for the production oil. Similar results were also obtained by Bosale </w:t>
      </w:r>
      <w:r w:rsidRPr="00757CC1">
        <w:rPr>
          <w:i/>
          <w:szCs w:val="20"/>
        </w:rPr>
        <w:t xml:space="preserve">et al., </w:t>
      </w:r>
      <w:r w:rsidRPr="00757CC1">
        <w:rPr>
          <w:szCs w:val="20"/>
        </w:rPr>
        <w:t xml:space="preserve">2011 and Dharati </w:t>
      </w:r>
      <w:r w:rsidRPr="00757CC1">
        <w:rPr>
          <w:i/>
          <w:szCs w:val="20"/>
        </w:rPr>
        <w:t xml:space="preserve">et al., </w:t>
      </w:r>
      <w:r w:rsidRPr="00757CC1">
        <w:rPr>
          <w:szCs w:val="20"/>
        </w:rPr>
        <w:t>2017.</w:t>
      </w:r>
      <w:commentRangeEnd w:id="56"/>
      <w:r w:rsidR="00C33205">
        <w:rPr>
          <w:rStyle w:val="CommentReference"/>
        </w:rPr>
        <w:commentReference w:id="56"/>
      </w:r>
    </w:p>
    <w:p w:rsidR="00757CC1" w:rsidRPr="00757CC1" w:rsidRDefault="00757CC1" w:rsidP="00757CC1">
      <w:pPr>
        <w:spacing w:after="0" w:line="360" w:lineRule="auto"/>
        <w:rPr>
          <w:szCs w:val="20"/>
        </w:rPr>
        <w:sectPr w:rsidR="00757CC1" w:rsidRPr="00757CC1" w:rsidSect="00FF5369">
          <w:pgSz w:w="11907" w:h="16839" w:code="9"/>
          <w:pgMar w:top="1440" w:right="1440" w:bottom="1440" w:left="1440" w:header="432" w:footer="432" w:gutter="0"/>
          <w:lnNumType w:countBy="1" w:restart="continuous"/>
          <w:pgNumType w:start="1"/>
          <w:cols w:space="720"/>
          <w:docGrid w:linePitch="360"/>
        </w:sectPr>
      </w:pPr>
      <w:r w:rsidRPr="00757CC1">
        <w:rPr>
          <w:b/>
          <w:szCs w:val="20"/>
        </w:rPr>
        <w:t xml:space="preserve">Biological yield: </w:t>
      </w:r>
      <w:r w:rsidRPr="00757CC1">
        <w:rPr>
          <w:szCs w:val="20"/>
        </w:rPr>
        <w:t>Data presented in Fig. 2 showed that application of sulphur to sesamum had significantly enhanced the biological yield at different soil sulphur status. In case of sulphur sufficient soil, the yield response was significantly increased up to 30 kg S ha</w:t>
      </w:r>
      <w:r w:rsidRPr="00757CC1">
        <w:rPr>
          <w:szCs w:val="20"/>
          <w:vertAlign w:val="superscript"/>
        </w:rPr>
        <w:t>-1</w:t>
      </w:r>
      <w:r w:rsidRPr="00757CC1">
        <w:rPr>
          <w:szCs w:val="20"/>
        </w:rPr>
        <w:t xml:space="preserve"> and on further increase in dosage of sulphur through gypsum has resulted in a non-significant trend. In accordance to sulphur application in sulphur deficient soil, the response of yield was extended up to 50 kg S ha</w:t>
      </w:r>
      <w:r w:rsidRPr="00757CC1">
        <w:rPr>
          <w:szCs w:val="20"/>
          <w:vertAlign w:val="superscript"/>
        </w:rPr>
        <w:t>-1</w:t>
      </w:r>
      <w:r w:rsidRPr="00757CC1">
        <w:rPr>
          <w:szCs w:val="20"/>
        </w:rPr>
        <w:t xml:space="preserve"> with a yield of 4134 and 3980 kg ha</w:t>
      </w:r>
      <w:r w:rsidRPr="00757CC1">
        <w:rPr>
          <w:szCs w:val="20"/>
          <w:vertAlign w:val="superscript"/>
        </w:rPr>
        <w:t>-1</w:t>
      </w:r>
      <w:r w:rsidRPr="00757CC1">
        <w:rPr>
          <w:szCs w:val="20"/>
        </w:rPr>
        <w:t xml:space="preserve"> respectively for two varieties among which TMV 7 had produced higher biological yield than SVPR 1.</w:t>
      </w:r>
    </w:p>
    <w:p w:rsidR="00757CC1" w:rsidRPr="00B43706" w:rsidRDefault="00757CC1" w:rsidP="00757CC1">
      <w:pPr>
        <w:spacing w:after="0"/>
        <w:rPr>
          <w:b/>
          <w:szCs w:val="20"/>
        </w:rPr>
      </w:pPr>
      <w:r w:rsidRPr="00B43706">
        <w:rPr>
          <w:b/>
          <w:szCs w:val="20"/>
        </w:rPr>
        <w:lastRenderedPageBreak/>
        <w:t xml:space="preserve">Table 1. Effect of graded levels of sulphur on test weight of sesamum varieties </w:t>
      </w:r>
    </w:p>
    <w:p w:rsidR="00757CC1" w:rsidRPr="00B43706" w:rsidRDefault="00757CC1" w:rsidP="00757CC1">
      <w:pPr>
        <w:spacing w:after="0"/>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1081"/>
        <w:gridCol w:w="1148"/>
        <w:gridCol w:w="1033"/>
        <w:gridCol w:w="1080"/>
        <w:gridCol w:w="1148"/>
        <w:gridCol w:w="1035"/>
      </w:tblGrid>
      <w:tr w:rsidR="00757CC1" w:rsidRPr="00B43706" w:rsidTr="00125504">
        <w:trPr>
          <w:trHeight w:val="393"/>
        </w:trPr>
        <w:tc>
          <w:tcPr>
            <w:tcW w:w="5000" w:type="pct"/>
            <w:gridSpan w:val="7"/>
            <w:shd w:val="clear" w:color="auto" w:fill="auto"/>
            <w:noWrap/>
            <w:vAlign w:val="center"/>
            <w:hideMark/>
          </w:tcPr>
          <w:p w:rsidR="00757CC1" w:rsidRPr="00B43706" w:rsidRDefault="00757CC1" w:rsidP="00125504">
            <w:pPr>
              <w:spacing w:after="0"/>
              <w:jc w:val="center"/>
              <w:rPr>
                <w:rFonts w:eastAsia="Times New Roman"/>
                <w:b/>
                <w:color w:val="000000"/>
                <w:szCs w:val="20"/>
                <w:vertAlign w:val="superscript"/>
              </w:rPr>
            </w:pPr>
            <w:r w:rsidRPr="00B43706">
              <w:rPr>
                <w:rFonts w:eastAsia="Times New Roman"/>
                <w:b/>
                <w:color w:val="000000"/>
                <w:szCs w:val="20"/>
              </w:rPr>
              <w:t>Test weight (g)</w:t>
            </w:r>
          </w:p>
        </w:tc>
      </w:tr>
      <w:tr w:rsidR="00757CC1" w:rsidRPr="00B43706" w:rsidTr="00125504">
        <w:trPr>
          <w:trHeight w:val="393"/>
        </w:trPr>
        <w:tc>
          <w:tcPr>
            <w:tcW w:w="3235" w:type="pct"/>
            <w:gridSpan w:val="4"/>
            <w:shd w:val="clear" w:color="auto" w:fill="auto"/>
            <w:noWrap/>
            <w:vAlign w:val="center"/>
            <w:hideMark/>
          </w:tcPr>
          <w:p w:rsidR="00757CC1" w:rsidRPr="00B43706" w:rsidRDefault="00757CC1" w:rsidP="00125504">
            <w:pPr>
              <w:spacing w:after="0"/>
              <w:jc w:val="center"/>
              <w:rPr>
                <w:rFonts w:eastAsia="Times New Roman"/>
                <w:b/>
                <w:color w:val="000000"/>
                <w:szCs w:val="20"/>
              </w:rPr>
            </w:pPr>
            <w:r w:rsidRPr="00B43706">
              <w:rPr>
                <w:rFonts w:eastAsia="Times New Roman"/>
                <w:b/>
                <w:color w:val="000000"/>
                <w:szCs w:val="20"/>
              </w:rPr>
              <w:t>Sulphur sufficient soil</w:t>
            </w:r>
          </w:p>
        </w:tc>
        <w:tc>
          <w:tcPr>
            <w:tcW w:w="1765" w:type="pct"/>
            <w:gridSpan w:val="3"/>
            <w:shd w:val="clear" w:color="auto" w:fill="auto"/>
            <w:noWrap/>
            <w:vAlign w:val="center"/>
            <w:hideMark/>
          </w:tcPr>
          <w:p w:rsidR="00757CC1" w:rsidRPr="00B43706" w:rsidRDefault="00757CC1" w:rsidP="00125504">
            <w:pPr>
              <w:spacing w:after="0"/>
              <w:jc w:val="center"/>
              <w:rPr>
                <w:rFonts w:eastAsia="Times New Roman"/>
                <w:b/>
                <w:color w:val="000000"/>
                <w:szCs w:val="20"/>
              </w:rPr>
            </w:pPr>
            <w:r w:rsidRPr="00B43706">
              <w:rPr>
                <w:rFonts w:eastAsia="Times New Roman"/>
                <w:b/>
                <w:color w:val="000000"/>
                <w:szCs w:val="20"/>
              </w:rPr>
              <w:t>Sulphur deficient soil</w:t>
            </w:r>
          </w:p>
        </w:tc>
      </w:tr>
      <w:tr w:rsidR="00757CC1" w:rsidRPr="00B43706" w:rsidTr="00125504">
        <w:trPr>
          <w:trHeight w:val="393"/>
        </w:trPr>
        <w:tc>
          <w:tcPr>
            <w:tcW w:w="1470" w:type="pct"/>
            <w:shd w:val="clear" w:color="auto" w:fill="auto"/>
            <w:noWrap/>
            <w:vAlign w:val="center"/>
            <w:hideMark/>
          </w:tcPr>
          <w:p w:rsidR="00757CC1" w:rsidRPr="00B43706" w:rsidRDefault="00757CC1" w:rsidP="00125504">
            <w:pPr>
              <w:spacing w:after="0"/>
              <w:rPr>
                <w:rFonts w:eastAsia="Times New Roman"/>
                <w:b/>
                <w:color w:val="000000"/>
                <w:szCs w:val="20"/>
              </w:rPr>
            </w:pPr>
            <w:r w:rsidRPr="00B43706">
              <w:rPr>
                <w:rFonts w:eastAsia="Times New Roman"/>
                <w:b/>
                <w:color w:val="000000"/>
                <w:szCs w:val="20"/>
              </w:rPr>
              <w:t>Treatments</w:t>
            </w:r>
          </w:p>
        </w:tc>
        <w:tc>
          <w:tcPr>
            <w:tcW w:w="585" w:type="pct"/>
            <w:shd w:val="clear" w:color="auto" w:fill="auto"/>
            <w:noWrap/>
            <w:vAlign w:val="center"/>
            <w:hideMark/>
          </w:tcPr>
          <w:p w:rsidR="00757CC1" w:rsidRPr="00B43706" w:rsidRDefault="00757CC1" w:rsidP="00125504">
            <w:pPr>
              <w:spacing w:after="0"/>
              <w:jc w:val="center"/>
              <w:rPr>
                <w:rFonts w:eastAsia="Times New Roman"/>
                <w:b/>
                <w:color w:val="000000"/>
                <w:szCs w:val="20"/>
              </w:rPr>
            </w:pPr>
            <w:r w:rsidRPr="00B43706">
              <w:rPr>
                <w:rFonts w:eastAsia="Times New Roman"/>
                <w:b/>
                <w:color w:val="000000"/>
                <w:szCs w:val="20"/>
              </w:rPr>
              <w:t>TMV 7</w:t>
            </w:r>
          </w:p>
        </w:tc>
        <w:tc>
          <w:tcPr>
            <w:tcW w:w="621" w:type="pct"/>
            <w:shd w:val="clear" w:color="auto" w:fill="auto"/>
            <w:noWrap/>
            <w:vAlign w:val="center"/>
            <w:hideMark/>
          </w:tcPr>
          <w:p w:rsidR="00757CC1" w:rsidRPr="00B43706" w:rsidRDefault="00757CC1" w:rsidP="00125504">
            <w:pPr>
              <w:spacing w:after="0"/>
              <w:jc w:val="center"/>
              <w:rPr>
                <w:rFonts w:eastAsia="Times New Roman"/>
                <w:b/>
                <w:color w:val="000000"/>
                <w:szCs w:val="20"/>
              </w:rPr>
            </w:pPr>
            <w:r w:rsidRPr="00B43706">
              <w:rPr>
                <w:rFonts w:eastAsia="Times New Roman"/>
                <w:b/>
                <w:color w:val="000000"/>
                <w:szCs w:val="20"/>
              </w:rPr>
              <w:t>SVPR 1</w:t>
            </w:r>
          </w:p>
        </w:tc>
        <w:tc>
          <w:tcPr>
            <w:tcW w:w="559" w:type="pct"/>
            <w:shd w:val="clear" w:color="auto" w:fill="auto"/>
            <w:noWrap/>
            <w:vAlign w:val="center"/>
            <w:hideMark/>
          </w:tcPr>
          <w:p w:rsidR="00757CC1" w:rsidRPr="00B43706" w:rsidRDefault="00757CC1" w:rsidP="00125504">
            <w:pPr>
              <w:spacing w:after="0"/>
              <w:jc w:val="center"/>
              <w:rPr>
                <w:rFonts w:eastAsia="Times New Roman"/>
                <w:b/>
                <w:color w:val="000000"/>
                <w:szCs w:val="20"/>
              </w:rPr>
            </w:pPr>
            <w:r w:rsidRPr="00B43706">
              <w:rPr>
                <w:rFonts w:eastAsia="Times New Roman"/>
                <w:b/>
                <w:color w:val="000000"/>
                <w:szCs w:val="20"/>
              </w:rPr>
              <w:t>Mean</w:t>
            </w:r>
          </w:p>
        </w:tc>
        <w:tc>
          <w:tcPr>
            <w:tcW w:w="584" w:type="pct"/>
            <w:shd w:val="clear" w:color="auto" w:fill="auto"/>
            <w:noWrap/>
            <w:vAlign w:val="center"/>
            <w:hideMark/>
          </w:tcPr>
          <w:p w:rsidR="00757CC1" w:rsidRPr="00B43706" w:rsidRDefault="00757CC1" w:rsidP="00125504">
            <w:pPr>
              <w:spacing w:after="0"/>
              <w:jc w:val="center"/>
              <w:rPr>
                <w:rFonts w:eastAsia="Times New Roman"/>
                <w:b/>
                <w:color w:val="000000"/>
                <w:szCs w:val="20"/>
              </w:rPr>
            </w:pPr>
            <w:r w:rsidRPr="00B43706">
              <w:rPr>
                <w:rFonts w:eastAsia="Times New Roman"/>
                <w:b/>
                <w:color w:val="000000"/>
                <w:szCs w:val="20"/>
              </w:rPr>
              <w:t>TMV 7</w:t>
            </w:r>
          </w:p>
        </w:tc>
        <w:tc>
          <w:tcPr>
            <w:tcW w:w="621" w:type="pct"/>
            <w:shd w:val="clear" w:color="auto" w:fill="auto"/>
            <w:noWrap/>
            <w:vAlign w:val="center"/>
            <w:hideMark/>
          </w:tcPr>
          <w:p w:rsidR="00757CC1" w:rsidRPr="00B43706" w:rsidRDefault="00757CC1" w:rsidP="00125504">
            <w:pPr>
              <w:spacing w:after="0"/>
              <w:jc w:val="center"/>
              <w:rPr>
                <w:rFonts w:eastAsia="Times New Roman"/>
                <w:b/>
                <w:color w:val="000000"/>
                <w:szCs w:val="20"/>
              </w:rPr>
            </w:pPr>
            <w:r w:rsidRPr="00B43706">
              <w:rPr>
                <w:rFonts w:eastAsia="Times New Roman"/>
                <w:b/>
                <w:color w:val="000000"/>
                <w:szCs w:val="20"/>
              </w:rPr>
              <w:t>SVPR 1</w:t>
            </w:r>
          </w:p>
        </w:tc>
        <w:tc>
          <w:tcPr>
            <w:tcW w:w="560" w:type="pct"/>
            <w:shd w:val="clear" w:color="auto" w:fill="auto"/>
            <w:noWrap/>
            <w:vAlign w:val="center"/>
            <w:hideMark/>
          </w:tcPr>
          <w:p w:rsidR="00757CC1" w:rsidRPr="00B43706" w:rsidRDefault="00757CC1" w:rsidP="00125504">
            <w:pPr>
              <w:spacing w:after="0"/>
              <w:jc w:val="center"/>
              <w:rPr>
                <w:rFonts w:eastAsia="Times New Roman"/>
                <w:b/>
                <w:color w:val="000000"/>
                <w:szCs w:val="20"/>
              </w:rPr>
            </w:pPr>
            <w:r w:rsidRPr="00B43706">
              <w:rPr>
                <w:rFonts w:eastAsia="Times New Roman"/>
                <w:b/>
                <w:color w:val="000000"/>
                <w:szCs w:val="20"/>
              </w:rPr>
              <w:t>Mean</w:t>
            </w:r>
          </w:p>
        </w:tc>
      </w:tr>
      <w:tr w:rsidR="00757CC1" w:rsidRPr="00B43706" w:rsidTr="00125504">
        <w:trPr>
          <w:trHeight w:val="432"/>
        </w:trPr>
        <w:tc>
          <w:tcPr>
            <w:tcW w:w="1470" w:type="pct"/>
            <w:shd w:val="clear" w:color="auto" w:fill="auto"/>
            <w:noWrap/>
            <w:vAlign w:val="center"/>
            <w:hideMark/>
          </w:tcPr>
          <w:p w:rsidR="00757CC1" w:rsidRPr="00B43706" w:rsidRDefault="00757CC1" w:rsidP="00125504">
            <w:pPr>
              <w:spacing w:after="0"/>
              <w:rPr>
                <w:rFonts w:eastAsia="Times New Roman"/>
                <w:color w:val="000000"/>
                <w:szCs w:val="20"/>
              </w:rPr>
            </w:pPr>
            <w:r w:rsidRPr="00B43706">
              <w:rPr>
                <w:rFonts w:eastAsia="Times New Roman"/>
                <w:color w:val="000000"/>
                <w:szCs w:val="20"/>
              </w:rPr>
              <w:t>Absolute Control</w:t>
            </w:r>
          </w:p>
        </w:tc>
        <w:tc>
          <w:tcPr>
            <w:tcW w:w="585" w:type="pct"/>
            <w:shd w:val="clear" w:color="auto" w:fill="auto"/>
            <w:noWrap/>
          </w:tcPr>
          <w:p w:rsidR="00757CC1" w:rsidRPr="00B43706" w:rsidRDefault="00757CC1" w:rsidP="00125504">
            <w:pPr>
              <w:jc w:val="center"/>
              <w:rPr>
                <w:szCs w:val="20"/>
              </w:rPr>
            </w:pPr>
            <w:r w:rsidRPr="00B43706">
              <w:rPr>
                <w:szCs w:val="20"/>
              </w:rPr>
              <w:t>2.41</w:t>
            </w:r>
          </w:p>
        </w:tc>
        <w:tc>
          <w:tcPr>
            <w:tcW w:w="621" w:type="pct"/>
            <w:shd w:val="clear" w:color="auto" w:fill="auto"/>
            <w:noWrap/>
          </w:tcPr>
          <w:p w:rsidR="00757CC1" w:rsidRPr="00B43706" w:rsidRDefault="00757CC1" w:rsidP="00125504">
            <w:pPr>
              <w:jc w:val="center"/>
              <w:rPr>
                <w:szCs w:val="20"/>
              </w:rPr>
            </w:pPr>
            <w:r w:rsidRPr="00B43706">
              <w:rPr>
                <w:szCs w:val="20"/>
              </w:rPr>
              <w:t>2.29</w:t>
            </w:r>
          </w:p>
        </w:tc>
        <w:tc>
          <w:tcPr>
            <w:tcW w:w="559" w:type="pct"/>
            <w:shd w:val="clear" w:color="auto" w:fill="auto"/>
            <w:noWrap/>
          </w:tcPr>
          <w:p w:rsidR="00757CC1" w:rsidRPr="00B43706" w:rsidRDefault="00757CC1" w:rsidP="00125504">
            <w:pPr>
              <w:jc w:val="center"/>
              <w:rPr>
                <w:szCs w:val="20"/>
              </w:rPr>
            </w:pPr>
            <w:r w:rsidRPr="00B43706">
              <w:rPr>
                <w:szCs w:val="20"/>
              </w:rPr>
              <w:t>2.35</w:t>
            </w:r>
          </w:p>
        </w:tc>
        <w:tc>
          <w:tcPr>
            <w:tcW w:w="584" w:type="pct"/>
            <w:shd w:val="clear" w:color="auto" w:fill="auto"/>
            <w:noWrap/>
          </w:tcPr>
          <w:p w:rsidR="00757CC1" w:rsidRPr="00B43706" w:rsidRDefault="00757CC1" w:rsidP="00125504">
            <w:pPr>
              <w:jc w:val="center"/>
              <w:rPr>
                <w:szCs w:val="20"/>
              </w:rPr>
            </w:pPr>
            <w:r w:rsidRPr="00B43706">
              <w:rPr>
                <w:szCs w:val="20"/>
              </w:rPr>
              <w:t>2.10</w:t>
            </w:r>
          </w:p>
        </w:tc>
        <w:tc>
          <w:tcPr>
            <w:tcW w:w="621" w:type="pct"/>
            <w:shd w:val="clear" w:color="auto" w:fill="auto"/>
            <w:noWrap/>
          </w:tcPr>
          <w:p w:rsidR="00757CC1" w:rsidRPr="00B43706" w:rsidRDefault="00757CC1" w:rsidP="00125504">
            <w:pPr>
              <w:jc w:val="center"/>
              <w:rPr>
                <w:szCs w:val="20"/>
              </w:rPr>
            </w:pPr>
            <w:r w:rsidRPr="00B43706">
              <w:rPr>
                <w:szCs w:val="20"/>
              </w:rPr>
              <w:t>2.00</w:t>
            </w:r>
          </w:p>
        </w:tc>
        <w:tc>
          <w:tcPr>
            <w:tcW w:w="560" w:type="pct"/>
            <w:shd w:val="clear" w:color="auto" w:fill="auto"/>
            <w:noWrap/>
          </w:tcPr>
          <w:p w:rsidR="00757CC1" w:rsidRPr="00B43706" w:rsidRDefault="00757CC1" w:rsidP="00125504">
            <w:pPr>
              <w:jc w:val="center"/>
              <w:rPr>
                <w:szCs w:val="20"/>
              </w:rPr>
            </w:pPr>
            <w:r w:rsidRPr="00B43706">
              <w:rPr>
                <w:szCs w:val="20"/>
              </w:rPr>
              <w:t>2.05</w:t>
            </w:r>
          </w:p>
        </w:tc>
      </w:tr>
      <w:tr w:rsidR="00757CC1" w:rsidRPr="00B43706" w:rsidTr="00125504">
        <w:trPr>
          <w:trHeight w:val="432"/>
        </w:trPr>
        <w:tc>
          <w:tcPr>
            <w:tcW w:w="1470" w:type="pct"/>
            <w:shd w:val="clear" w:color="auto" w:fill="auto"/>
            <w:noWrap/>
            <w:vAlign w:val="center"/>
            <w:hideMark/>
          </w:tcPr>
          <w:p w:rsidR="00757CC1" w:rsidRPr="00B43706" w:rsidRDefault="00757CC1" w:rsidP="00125504">
            <w:pPr>
              <w:spacing w:after="0"/>
              <w:rPr>
                <w:rFonts w:eastAsia="Times New Roman"/>
                <w:color w:val="000000"/>
                <w:szCs w:val="20"/>
              </w:rPr>
            </w:pPr>
            <w:r w:rsidRPr="00B43706">
              <w:rPr>
                <w:rFonts w:eastAsia="Times New Roman"/>
                <w:color w:val="000000"/>
                <w:szCs w:val="20"/>
              </w:rPr>
              <w:t>RDF alone</w:t>
            </w:r>
          </w:p>
        </w:tc>
        <w:tc>
          <w:tcPr>
            <w:tcW w:w="585" w:type="pct"/>
            <w:shd w:val="clear" w:color="auto" w:fill="auto"/>
            <w:noWrap/>
          </w:tcPr>
          <w:p w:rsidR="00757CC1" w:rsidRPr="00B43706" w:rsidRDefault="00757CC1" w:rsidP="00125504">
            <w:pPr>
              <w:jc w:val="center"/>
              <w:rPr>
                <w:szCs w:val="20"/>
              </w:rPr>
            </w:pPr>
            <w:r w:rsidRPr="00B43706">
              <w:rPr>
                <w:szCs w:val="20"/>
              </w:rPr>
              <w:t>2.62</w:t>
            </w:r>
          </w:p>
        </w:tc>
        <w:tc>
          <w:tcPr>
            <w:tcW w:w="621" w:type="pct"/>
            <w:shd w:val="clear" w:color="auto" w:fill="auto"/>
            <w:noWrap/>
          </w:tcPr>
          <w:p w:rsidR="00757CC1" w:rsidRPr="00B43706" w:rsidRDefault="00757CC1" w:rsidP="00125504">
            <w:pPr>
              <w:jc w:val="center"/>
              <w:rPr>
                <w:szCs w:val="20"/>
              </w:rPr>
            </w:pPr>
            <w:r w:rsidRPr="00B43706">
              <w:rPr>
                <w:szCs w:val="20"/>
              </w:rPr>
              <w:t>2.51</w:t>
            </w:r>
          </w:p>
        </w:tc>
        <w:tc>
          <w:tcPr>
            <w:tcW w:w="559" w:type="pct"/>
            <w:shd w:val="clear" w:color="auto" w:fill="auto"/>
            <w:noWrap/>
          </w:tcPr>
          <w:p w:rsidR="00757CC1" w:rsidRPr="00B43706" w:rsidRDefault="00757CC1" w:rsidP="00125504">
            <w:pPr>
              <w:jc w:val="center"/>
              <w:rPr>
                <w:szCs w:val="20"/>
              </w:rPr>
            </w:pPr>
            <w:r w:rsidRPr="00B43706">
              <w:rPr>
                <w:szCs w:val="20"/>
              </w:rPr>
              <w:t>2.57</w:t>
            </w:r>
          </w:p>
        </w:tc>
        <w:tc>
          <w:tcPr>
            <w:tcW w:w="584" w:type="pct"/>
            <w:shd w:val="clear" w:color="auto" w:fill="auto"/>
            <w:noWrap/>
          </w:tcPr>
          <w:p w:rsidR="00757CC1" w:rsidRPr="00B43706" w:rsidRDefault="00757CC1" w:rsidP="00125504">
            <w:pPr>
              <w:jc w:val="center"/>
              <w:rPr>
                <w:szCs w:val="20"/>
              </w:rPr>
            </w:pPr>
            <w:r w:rsidRPr="00B43706">
              <w:rPr>
                <w:szCs w:val="20"/>
              </w:rPr>
              <w:t>2.31</w:t>
            </w:r>
          </w:p>
        </w:tc>
        <w:tc>
          <w:tcPr>
            <w:tcW w:w="621" w:type="pct"/>
            <w:shd w:val="clear" w:color="auto" w:fill="auto"/>
            <w:noWrap/>
          </w:tcPr>
          <w:p w:rsidR="00757CC1" w:rsidRPr="00B43706" w:rsidRDefault="00757CC1" w:rsidP="00125504">
            <w:pPr>
              <w:jc w:val="center"/>
              <w:rPr>
                <w:szCs w:val="20"/>
              </w:rPr>
            </w:pPr>
            <w:r w:rsidRPr="00B43706">
              <w:rPr>
                <w:szCs w:val="20"/>
              </w:rPr>
              <w:t>2.21</w:t>
            </w:r>
          </w:p>
        </w:tc>
        <w:tc>
          <w:tcPr>
            <w:tcW w:w="560" w:type="pct"/>
            <w:shd w:val="clear" w:color="auto" w:fill="auto"/>
            <w:noWrap/>
          </w:tcPr>
          <w:p w:rsidR="00757CC1" w:rsidRPr="00B43706" w:rsidRDefault="00757CC1" w:rsidP="00125504">
            <w:pPr>
              <w:jc w:val="center"/>
              <w:rPr>
                <w:szCs w:val="20"/>
              </w:rPr>
            </w:pPr>
            <w:r w:rsidRPr="00B43706">
              <w:rPr>
                <w:szCs w:val="20"/>
              </w:rPr>
              <w:t>2.26</w:t>
            </w:r>
          </w:p>
        </w:tc>
      </w:tr>
      <w:tr w:rsidR="00757CC1" w:rsidRPr="00B43706" w:rsidTr="00125504">
        <w:trPr>
          <w:trHeight w:val="432"/>
        </w:trPr>
        <w:tc>
          <w:tcPr>
            <w:tcW w:w="1470" w:type="pct"/>
            <w:shd w:val="clear" w:color="auto" w:fill="auto"/>
            <w:noWrap/>
            <w:vAlign w:val="center"/>
            <w:hideMark/>
          </w:tcPr>
          <w:p w:rsidR="00757CC1" w:rsidRPr="00B43706" w:rsidRDefault="00757CC1" w:rsidP="00125504">
            <w:pPr>
              <w:spacing w:after="0"/>
              <w:rPr>
                <w:rFonts w:eastAsia="Times New Roman"/>
                <w:color w:val="000000"/>
                <w:szCs w:val="20"/>
              </w:rPr>
            </w:pPr>
            <w:r w:rsidRPr="00B43706">
              <w:rPr>
                <w:rFonts w:eastAsia="Times New Roman"/>
                <w:color w:val="000000"/>
                <w:szCs w:val="20"/>
              </w:rPr>
              <w:t xml:space="preserve">RDF+ S </w:t>
            </w:r>
            <w:r w:rsidRPr="00B43706">
              <w:rPr>
                <w:rFonts w:eastAsia="Times New Roman"/>
                <w:color w:val="000000"/>
                <w:szCs w:val="20"/>
                <w:vertAlign w:val="subscript"/>
              </w:rPr>
              <w:t>20</w:t>
            </w:r>
            <w:r w:rsidRPr="00B43706">
              <w:rPr>
                <w:rFonts w:eastAsia="Times New Roman"/>
                <w:color w:val="000000"/>
                <w:szCs w:val="20"/>
              </w:rPr>
              <w:t xml:space="preserve"> kg ha</w:t>
            </w:r>
            <w:r w:rsidRPr="00B43706">
              <w:rPr>
                <w:rFonts w:eastAsia="Times New Roman"/>
                <w:color w:val="000000"/>
                <w:szCs w:val="20"/>
                <w:vertAlign w:val="superscript"/>
              </w:rPr>
              <w:t>-1</w:t>
            </w:r>
          </w:p>
        </w:tc>
        <w:tc>
          <w:tcPr>
            <w:tcW w:w="585" w:type="pct"/>
            <w:shd w:val="clear" w:color="auto" w:fill="auto"/>
            <w:noWrap/>
          </w:tcPr>
          <w:p w:rsidR="00757CC1" w:rsidRPr="00B43706" w:rsidRDefault="00757CC1" w:rsidP="00125504">
            <w:pPr>
              <w:jc w:val="center"/>
              <w:rPr>
                <w:szCs w:val="20"/>
              </w:rPr>
            </w:pPr>
            <w:r w:rsidRPr="00B43706">
              <w:rPr>
                <w:szCs w:val="20"/>
              </w:rPr>
              <w:t>2.84</w:t>
            </w:r>
          </w:p>
        </w:tc>
        <w:tc>
          <w:tcPr>
            <w:tcW w:w="621" w:type="pct"/>
            <w:shd w:val="clear" w:color="auto" w:fill="auto"/>
            <w:noWrap/>
          </w:tcPr>
          <w:p w:rsidR="00757CC1" w:rsidRPr="00B43706" w:rsidRDefault="00757CC1" w:rsidP="00125504">
            <w:pPr>
              <w:jc w:val="center"/>
              <w:rPr>
                <w:szCs w:val="20"/>
              </w:rPr>
            </w:pPr>
            <w:r w:rsidRPr="00B43706">
              <w:rPr>
                <w:szCs w:val="20"/>
              </w:rPr>
              <w:t>2.72</w:t>
            </w:r>
          </w:p>
        </w:tc>
        <w:tc>
          <w:tcPr>
            <w:tcW w:w="559" w:type="pct"/>
            <w:shd w:val="clear" w:color="auto" w:fill="auto"/>
            <w:noWrap/>
          </w:tcPr>
          <w:p w:rsidR="00757CC1" w:rsidRPr="00B43706" w:rsidRDefault="00757CC1" w:rsidP="00125504">
            <w:pPr>
              <w:jc w:val="center"/>
              <w:rPr>
                <w:szCs w:val="20"/>
              </w:rPr>
            </w:pPr>
            <w:r w:rsidRPr="00B43706">
              <w:rPr>
                <w:szCs w:val="20"/>
              </w:rPr>
              <w:t>2.78</w:t>
            </w:r>
          </w:p>
        </w:tc>
        <w:tc>
          <w:tcPr>
            <w:tcW w:w="584" w:type="pct"/>
            <w:shd w:val="clear" w:color="auto" w:fill="auto"/>
            <w:noWrap/>
          </w:tcPr>
          <w:p w:rsidR="00757CC1" w:rsidRPr="00B43706" w:rsidRDefault="00757CC1" w:rsidP="00125504">
            <w:pPr>
              <w:jc w:val="center"/>
              <w:rPr>
                <w:szCs w:val="20"/>
              </w:rPr>
            </w:pPr>
            <w:r w:rsidRPr="00B43706">
              <w:rPr>
                <w:szCs w:val="20"/>
              </w:rPr>
              <w:t>2.53</w:t>
            </w:r>
          </w:p>
        </w:tc>
        <w:tc>
          <w:tcPr>
            <w:tcW w:w="621" w:type="pct"/>
            <w:shd w:val="clear" w:color="auto" w:fill="auto"/>
            <w:noWrap/>
          </w:tcPr>
          <w:p w:rsidR="00757CC1" w:rsidRPr="00B43706" w:rsidRDefault="00757CC1" w:rsidP="00125504">
            <w:pPr>
              <w:jc w:val="center"/>
              <w:rPr>
                <w:szCs w:val="20"/>
              </w:rPr>
            </w:pPr>
            <w:r w:rsidRPr="00B43706">
              <w:rPr>
                <w:szCs w:val="20"/>
              </w:rPr>
              <w:t>2.45</w:t>
            </w:r>
          </w:p>
        </w:tc>
        <w:tc>
          <w:tcPr>
            <w:tcW w:w="560" w:type="pct"/>
            <w:shd w:val="clear" w:color="auto" w:fill="auto"/>
            <w:noWrap/>
          </w:tcPr>
          <w:p w:rsidR="00757CC1" w:rsidRPr="00B43706" w:rsidRDefault="00757CC1" w:rsidP="00125504">
            <w:pPr>
              <w:jc w:val="center"/>
              <w:rPr>
                <w:szCs w:val="20"/>
              </w:rPr>
            </w:pPr>
            <w:r w:rsidRPr="00B43706">
              <w:rPr>
                <w:szCs w:val="20"/>
              </w:rPr>
              <w:t>2.49</w:t>
            </w:r>
          </w:p>
        </w:tc>
      </w:tr>
      <w:tr w:rsidR="00757CC1" w:rsidRPr="00B43706" w:rsidTr="00125504">
        <w:trPr>
          <w:trHeight w:val="432"/>
        </w:trPr>
        <w:tc>
          <w:tcPr>
            <w:tcW w:w="1470" w:type="pct"/>
            <w:shd w:val="clear" w:color="auto" w:fill="auto"/>
            <w:noWrap/>
            <w:vAlign w:val="center"/>
            <w:hideMark/>
          </w:tcPr>
          <w:p w:rsidR="00757CC1" w:rsidRPr="00B43706" w:rsidRDefault="00757CC1" w:rsidP="00125504">
            <w:pPr>
              <w:spacing w:after="0"/>
              <w:rPr>
                <w:rFonts w:eastAsia="Times New Roman"/>
                <w:color w:val="000000"/>
                <w:szCs w:val="20"/>
              </w:rPr>
            </w:pPr>
            <w:r w:rsidRPr="00B43706">
              <w:rPr>
                <w:rFonts w:eastAsia="Times New Roman"/>
                <w:color w:val="000000"/>
                <w:szCs w:val="20"/>
              </w:rPr>
              <w:t xml:space="preserve">RDF+ S </w:t>
            </w:r>
            <w:r w:rsidRPr="00B43706">
              <w:rPr>
                <w:rFonts w:eastAsia="Times New Roman"/>
                <w:color w:val="000000"/>
                <w:szCs w:val="20"/>
                <w:vertAlign w:val="subscript"/>
              </w:rPr>
              <w:t>30</w:t>
            </w:r>
            <w:r w:rsidRPr="00B43706">
              <w:rPr>
                <w:rFonts w:eastAsia="Times New Roman"/>
                <w:color w:val="000000"/>
                <w:szCs w:val="20"/>
              </w:rPr>
              <w:t xml:space="preserve"> kg ha</w:t>
            </w:r>
            <w:r w:rsidRPr="00B43706">
              <w:rPr>
                <w:rFonts w:eastAsia="Times New Roman"/>
                <w:color w:val="000000"/>
                <w:szCs w:val="20"/>
                <w:vertAlign w:val="superscript"/>
              </w:rPr>
              <w:t>-1</w:t>
            </w:r>
          </w:p>
        </w:tc>
        <w:tc>
          <w:tcPr>
            <w:tcW w:w="585" w:type="pct"/>
            <w:shd w:val="clear" w:color="auto" w:fill="auto"/>
            <w:noWrap/>
          </w:tcPr>
          <w:p w:rsidR="00757CC1" w:rsidRPr="00B43706" w:rsidRDefault="00757CC1" w:rsidP="00125504">
            <w:pPr>
              <w:jc w:val="center"/>
              <w:rPr>
                <w:szCs w:val="20"/>
              </w:rPr>
            </w:pPr>
            <w:r w:rsidRPr="00B43706">
              <w:rPr>
                <w:szCs w:val="20"/>
              </w:rPr>
              <w:t>3.08</w:t>
            </w:r>
          </w:p>
        </w:tc>
        <w:tc>
          <w:tcPr>
            <w:tcW w:w="621" w:type="pct"/>
            <w:shd w:val="clear" w:color="auto" w:fill="auto"/>
            <w:noWrap/>
          </w:tcPr>
          <w:p w:rsidR="00757CC1" w:rsidRPr="00B43706" w:rsidRDefault="00757CC1" w:rsidP="00125504">
            <w:pPr>
              <w:jc w:val="center"/>
              <w:rPr>
                <w:szCs w:val="20"/>
              </w:rPr>
            </w:pPr>
            <w:r w:rsidRPr="00B43706">
              <w:rPr>
                <w:szCs w:val="20"/>
              </w:rPr>
              <w:t>2.93</w:t>
            </w:r>
          </w:p>
        </w:tc>
        <w:tc>
          <w:tcPr>
            <w:tcW w:w="559" w:type="pct"/>
            <w:shd w:val="clear" w:color="auto" w:fill="auto"/>
            <w:noWrap/>
          </w:tcPr>
          <w:p w:rsidR="00757CC1" w:rsidRPr="00B43706" w:rsidRDefault="00757CC1" w:rsidP="00125504">
            <w:pPr>
              <w:jc w:val="center"/>
              <w:rPr>
                <w:szCs w:val="20"/>
              </w:rPr>
            </w:pPr>
            <w:r w:rsidRPr="00B43706">
              <w:rPr>
                <w:szCs w:val="20"/>
              </w:rPr>
              <w:t>3.01</w:t>
            </w:r>
          </w:p>
        </w:tc>
        <w:tc>
          <w:tcPr>
            <w:tcW w:w="584" w:type="pct"/>
            <w:shd w:val="clear" w:color="auto" w:fill="auto"/>
            <w:noWrap/>
          </w:tcPr>
          <w:p w:rsidR="00757CC1" w:rsidRPr="00B43706" w:rsidRDefault="00757CC1" w:rsidP="00125504">
            <w:pPr>
              <w:jc w:val="center"/>
              <w:rPr>
                <w:szCs w:val="20"/>
              </w:rPr>
            </w:pPr>
            <w:r w:rsidRPr="00B43706">
              <w:rPr>
                <w:szCs w:val="20"/>
              </w:rPr>
              <w:t>2.75</w:t>
            </w:r>
          </w:p>
        </w:tc>
        <w:tc>
          <w:tcPr>
            <w:tcW w:w="621" w:type="pct"/>
            <w:shd w:val="clear" w:color="auto" w:fill="auto"/>
            <w:noWrap/>
          </w:tcPr>
          <w:p w:rsidR="00757CC1" w:rsidRPr="00B43706" w:rsidRDefault="00757CC1" w:rsidP="00125504">
            <w:pPr>
              <w:jc w:val="center"/>
              <w:rPr>
                <w:szCs w:val="20"/>
              </w:rPr>
            </w:pPr>
            <w:r w:rsidRPr="00B43706">
              <w:rPr>
                <w:szCs w:val="20"/>
              </w:rPr>
              <w:t>2.67</w:t>
            </w:r>
          </w:p>
        </w:tc>
        <w:tc>
          <w:tcPr>
            <w:tcW w:w="560" w:type="pct"/>
            <w:shd w:val="clear" w:color="auto" w:fill="auto"/>
            <w:noWrap/>
          </w:tcPr>
          <w:p w:rsidR="00757CC1" w:rsidRPr="00B43706" w:rsidRDefault="00757CC1" w:rsidP="00125504">
            <w:pPr>
              <w:jc w:val="center"/>
              <w:rPr>
                <w:szCs w:val="20"/>
              </w:rPr>
            </w:pPr>
            <w:r w:rsidRPr="00B43706">
              <w:rPr>
                <w:szCs w:val="20"/>
              </w:rPr>
              <w:t>2.71</w:t>
            </w:r>
          </w:p>
        </w:tc>
      </w:tr>
      <w:tr w:rsidR="00757CC1" w:rsidRPr="00B43706" w:rsidTr="00125504">
        <w:trPr>
          <w:trHeight w:val="432"/>
        </w:trPr>
        <w:tc>
          <w:tcPr>
            <w:tcW w:w="1470" w:type="pct"/>
            <w:shd w:val="clear" w:color="auto" w:fill="auto"/>
            <w:noWrap/>
            <w:vAlign w:val="center"/>
            <w:hideMark/>
          </w:tcPr>
          <w:p w:rsidR="00757CC1" w:rsidRPr="00B43706" w:rsidRDefault="00757CC1" w:rsidP="00125504">
            <w:pPr>
              <w:spacing w:after="0"/>
              <w:rPr>
                <w:rFonts w:eastAsia="Times New Roman"/>
                <w:color w:val="000000"/>
                <w:szCs w:val="20"/>
              </w:rPr>
            </w:pPr>
            <w:r w:rsidRPr="00B43706">
              <w:rPr>
                <w:rFonts w:eastAsia="Times New Roman"/>
                <w:color w:val="000000"/>
                <w:szCs w:val="20"/>
              </w:rPr>
              <w:t xml:space="preserve">RDF+ S </w:t>
            </w:r>
            <w:r w:rsidRPr="00B43706">
              <w:rPr>
                <w:rFonts w:eastAsia="Times New Roman"/>
                <w:color w:val="000000"/>
                <w:szCs w:val="20"/>
                <w:vertAlign w:val="subscript"/>
              </w:rPr>
              <w:t>40</w:t>
            </w:r>
            <w:r w:rsidRPr="00B43706">
              <w:rPr>
                <w:rFonts w:eastAsia="Times New Roman"/>
                <w:color w:val="000000"/>
                <w:szCs w:val="20"/>
              </w:rPr>
              <w:t xml:space="preserve"> kg ha</w:t>
            </w:r>
            <w:r w:rsidRPr="00B43706">
              <w:rPr>
                <w:rFonts w:eastAsia="Times New Roman"/>
                <w:color w:val="000000"/>
                <w:szCs w:val="20"/>
                <w:vertAlign w:val="superscript"/>
              </w:rPr>
              <w:t>-1</w:t>
            </w:r>
          </w:p>
        </w:tc>
        <w:tc>
          <w:tcPr>
            <w:tcW w:w="585" w:type="pct"/>
            <w:shd w:val="clear" w:color="auto" w:fill="auto"/>
            <w:noWrap/>
          </w:tcPr>
          <w:p w:rsidR="00757CC1" w:rsidRPr="00B43706" w:rsidRDefault="00757CC1" w:rsidP="00125504">
            <w:pPr>
              <w:jc w:val="center"/>
              <w:rPr>
                <w:szCs w:val="20"/>
              </w:rPr>
            </w:pPr>
            <w:r w:rsidRPr="00B43706">
              <w:rPr>
                <w:szCs w:val="20"/>
              </w:rPr>
              <w:t>3.18</w:t>
            </w:r>
          </w:p>
        </w:tc>
        <w:tc>
          <w:tcPr>
            <w:tcW w:w="621" w:type="pct"/>
            <w:shd w:val="clear" w:color="auto" w:fill="auto"/>
            <w:noWrap/>
          </w:tcPr>
          <w:p w:rsidR="00757CC1" w:rsidRPr="00B43706" w:rsidRDefault="00757CC1" w:rsidP="00125504">
            <w:pPr>
              <w:jc w:val="center"/>
              <w:rPr>
                <w:szCs w:val="20"/>
              </w:rPr>
            </w:pPr>
            <w:r w:rsidRPr="00B43706">
              <w:rPr>
                <w:szCs w:val="20"/>
              </w:rPr>
              <w:t>3.04</w:t>
            </w:r>
          </w:p>
        </w:tc>
        <w:tc>
          <w:tcPr>
            <w:tcW w:w="559" w:type="pct"/>
            <w:shd w:val="clear" w:color="auto" w:fill="auto"/>
            <w:noWrap/>
          </w:tcPr>
          <w:p w:rsidR="00757CC1" w:rsidRPr="00B43706" w:rsidRDefault="00757CC1" w:rsidP="00125504">
            <w:pPr>
              <w:jc w:val="center"/>
              <w:rPr>
                <w:szCs w:val="20"/>
              </w:rPr>
            </w:pPr>
            <w:r w:rsidRPr="00B43706">
              <w:rPr>
                <w:szCs w:val="20"/>
              </w:rPr>
              <w:t>3.11</w:t>
            </w:r>
          </w:p>
        </w:tc>
        <w:tc>
          <w:tcPr>
            <w:tcW w:w="584" w:type="pct"/>
            <w:shd w:val="clear" w:color="auto" w:fill="auto"/>
            <w:noWrap/>
          </w:tcPr>
          <w:p w:rsidR="00757CC1" w:rsidRPr="00B43706" w:rsidRDefault="00757CC1" w:rsidP="00125504">
            <w:pPr>
              <w:jc w:val="center"/>
              <w:rPr>
                <w:szCs w:val="20"/>
              </w:rPr>
            </w:pPr>
            <w:r w:rsidRPr="00B43706">
              <w:rPr>
                <w:szCs w:val="20"/>
              </w:rPr>
              <w:t>2.97</w:t>
            </w:r>
          </w:p>
        </w:tc>
        <w:tc>
          <w:tcPr>
            <w:tcW w:w="621" w:type="pct"/>
            <w:shd w:val="clear" w:color="auto" w:fill="auto"/>
            <w:noWrap/>
          </w:tcPr>
          <w:p w:rsidR="00757CC1" w:rsidRPr="00B43706" w:rsidRDefault="00757CC1" w:rsidP="00125504">
            <w:pPr>
              <w:jc w:val="center"/>
              <w:rPr>
                <w:szCs w:val="20"/>
              </w:rPr>
            </w:pPr>
            <w:r w:rsidRPr="00B43706">
              <w:rPr>
                <w:szCs w:val="20"/>
              </w:rPr>
              <w:t>2.89</w:t>
            </w:r>
          </w:p>
        </w:tc>
        <w:tc>
          <w:tcPr>
            <w:tcW w:w="560" w:type="pct"/>
            <w:shd w:val="clear" w:color="auto" w:fill="auto"/>
            <w:noWrap/>
          </w:tcPr>
          <w:p w:rsidR="00757CC1" w:rsidRPr="00B43706" w:rsidRDefault="00757CC1" w:rsidP="00125504">
            <w:pPr>
              <w:jc w:val="center"/>
              <w:rPr>
                <w:szCs w:val="20"/>
              </w:rPr>
            </w:pPr>
            <w:r w:rsidRPr="00B43706">
              <w:rPr>
                <w:szCs w:val="20"/>
              </w:rPr>
              <w:t>2.93</w:t>
            </w:r>
          </w:p>
        </w:tc>
      </w:tr>
      <w:tr w:rsidR="00757CC1" w:rsidRPr="00B43706" w:rsidTr="00125504">
        <w:trPr>
          <w:trHeight w:val="432"/>
        </w:trPr>
        <w:tc>
          <w:tcPr>
            <w:tcW w:w="1470" w:type="pct"/>
            <w:shd w:val="clear" w:color="auto" w:fill="auto"/>
            <w:noWrap/>
            <w:vAlign w:val="center"/>
            <w:hideMark/>
          </w:tcPr>
          <w:p w:rsidR="00757CC1" w:rsidRPr="00B43706" w:rsidRDefault="00757CC1" w:rsidP="00125504">
            <w:pPr>
              <w:spacing w:after="0"/>
              <w:rPr>
                <w:rFonts w:eastAsia="Times New Roman"/>
                <w:color w:val="000000"/>
                <w:szCs w:val="20"/>
              </w:rPr>
            </w:pPr>
            <w:r w:rsidRPr="00B43706">
              <w:rPr>
                <w:rFonts w:eastAsia="Times New Roman"/>
                <w:color w:val="000000"/>
                <w:szCs w:val="20"/>
              </w:rPr>
              <w:t xml:space="preserve">RDF+ S </w:t>
            </w:r>
            <w:r w:rsidRPr="00B43706">
              <w:rPr>
                <w:rFonts w:eastAsia="Times New Roman"/>
                <w:color w:val="000000"/>
                <w:szCs w:val="20"/>
                <w:vertAlign w:val="subscript"/>
              </w:rPr>
              <w:t>50</w:t>
            </w:r>
            <w:r w:rsidRPr="00B43706">
              <w:rPr>
                <w:rFonts w:eastAsia="Times New Roman"/>
                <w:color w:val="000000"/>
                <w:szCs w:val="20"/>
              </w:rPr>
              <w:t xml:space="preserve"> kg ha</w:t>
            </w:r>
            <w:r w:rsidRPr="00B43706">
              <w:rPr>
                <w:rFonts w:eastAsia="Times New Roman"/>
                <w:color w:val="000000"/>
                <w:szCs w:val="20"/>
                <w:vertAlign w:val="superscript"/>
              </w:rPr>
              <w:t>-1</w:t>
            </w:r>
          </w:p>
        </w:tc>
        <w:tc>
          <w:tcPr>
            <w:tcW w:w="585" w:type="pct"/>
            <w:shd w:val="clear" w:color="auto" w:fill="auto"/>
            <w:noWrap/>
          </w:tcPr>
          <w:p w:rsidR="00757CC1" w:rsidRPr="00B43706" w:rsidRDefault="00757CC1" w:rsidP="00125504">
            <w:pPr>
              <w:jc w:val="center"/>
              <w:rPr>
                <w:szCs w:val="20"/>
              </w:rPr>
            </w:pPr>
            <w:r w:rsidRPr="00B43706">
              <w:rPr>
                <w:szCs w:val="20"/>
              </w:rPr>
              <w:t>3.29</w:t>
            </w:r>
          </w:p>
        </w:tc>
        <w:tc>
          <w:tcPr>
            <w:tcW w:w="621" w:type="pct"/>
            <w:shd w:val="clear" w:color="auto" w:fill="auto"/>
            <w:noWrap/>
          </w:tcPr>
          <w:p w:rsidR="00757CC1" w:rsidRPr="00B43706" w:rsidRDefault="00757CC1" w:rsidP="00125504">
            <w:pPr>
              <w:jc w:val="center"/>
              <w:rPr>
                <w:szCs w:val="20"/>
              </w:rPr>
            </w:pPr>
            <w:r w:rsidRPr="00B43706">
              <w:rPr>
                <w:szCs w:val="20"/>
              </w:rPr>
              <w:t>3.15</w:t>
            </w:r>
          </w:p>
        </w:tc>
        <w:tc>
          <w:tcPr>
            <w:tcW w:w="559" w:type="pct"/>
            <w:shd w:val="clear" w:color="auto" w:fill="auto"/>
            <w:noWrap/>
          </w:tcPr>
          <w:p w:rsidR="00757CC1" w:rsidRPr="00B43706" w:rsidRDefault="00757CC1" w:rsidP="00125504">
            <w:pPr>
              <w:jc w:val="center"/>
              <w:rPr>
                <w:szCs w:val="20"/>
              </w:rPr>
            </w:pPr>
            <w:r w:rsidRPr="00B43706">
              <w:rPr>
                <w:szCs w:val="20"/>
              </w:rPr>
              <w:t>3.22</w:t>
            </w:r>
          </w:p>
        </w:tc>
        <w:tc>
          <w:tcPr>
            <w:tcW w:w="584" w:type="pct"/>
            <w:shd w:val="clear" w:color="auto" w:fill="auto"/>
            <w:noWrap/>
          </w:tcPr>
          <w:p w:rsidR="00757CC1" w:rsidRPr="00B43706" w:rsidRDefault="00757CC1" w:rsidP="00125504">
            <w:pPr>
              <w:jc w:val="center"/>
              <w:rPr>
                <w:szCs w:val="20"/>
              </w:rPr>
            </w:pPr>
            <w:r w:rsidRPr="00B43706">
              <w:rPr>
                <w:szCs w:val="20"/>
              </w:rPr>
              <w:t>3.51</w:t>
            </w:r>
          </w:p>
        </w:tc>
        <w:tc>
          <w:tcPr>
            <w:tcW w:w="621" w:type="pct"/>
            <w:shd w:val="clear" w:color="auto" w:fill="auto"/>
            <w:noWrap/>
          </w:tcPr>
          <w:p w:rsidR="00757CC1" w:rsidRPr="00B43706" w:rsidRDefault="00757CC1" w:rsidP="00125504">
            <w:pPr>
              <w:jc w:val="center"/>
              <w:rPr>
                <w:szCs w:val="20"/>
              </w:rPr>
            </w:pPr>
            <w:r w:rsidRPr="00B43706">
              <w:rPr>
                <w:szCs w:val="20"/>
              </w:rPr>
              <w:t>3.45</w:t>
            </w:r>
          </w:p>
        </w:tc>
        <w:tc>
          <w:tcPr>
            <w:tcW w:w="560" w:type="pct"/>
            <w:shd w:val="clear" w:color="auto" w:fill="auto"/>
            <w:noWrap/>
          </w:tcPr>
          <w:p w:rsidR="00757CC1" w:rsidRPr="00B43706" w:rsidRDefault="00757CC1" w:rsidP="00125504">
            <w:pPr>
              <w:jc w:val="center"/>
              <w:rPr>
                <w:szCs w:val="20"/>
              </w:rPr>
            </w:pPr>
            <w:r w:rsidRPr="00B43706">
              <w:rPr>
                <w:szCs w:val="20"/>
              </w:rPr>
              <w:t>3.48</w:t>
            </w:r>
          </w:p>
        </w:tc>
      </w:tr>
      <w:tr w:rsidR="00757CC1" w:rsidRPr="00B43706" w:rsidTr="00125504">
        <w:trPr>
          <w:trHeight w:val="432"/>
        </w:trPr>
        <w:tc>
          <w:tcPr>
            <w:tcW w:w="1470" w:type="pct"/>
            <w:shd w:val="clear" w:color="auto" w:fill="auto"/>
            <w:noWrap/>
            <w:vAlign w:val="center"/>
            <w:hideMark/>
          </w:tcPr>
          <w:p w:rsidR="00757CC1" w:rsidRPr="00B43706" w:rsidRDefault="00757CC1" w:rsidP="00125504">
            <w:pPr>
              <w:spacing w:after="0"/>
              <w:rPr>
                <w:rFonts w:eastAsia="Times New Roman"/>
                <w:color w:val="000000"/>
                <w:szCs w:val="20"/>
                <w:vertAlign w:val="superscript"/>
              </w:rPr>
            </w:pPr>
            <w:r w:rsidRPr="00B43706">
              <w:rPr>
                <w:rFonts w:eastAsia="Times New Roman"/>
                <w:color w:val="000000"/>
                <w:szCs w:val="20"/>
              </w:rPr>
              <w:t xml:space="preserve">RDF+ S </w:t>
            </w:r>
            <w:r w:rsidRPr="00B43706">
              <w:rPr>
                <w:rFonts w:eastAsia="Times New Roman"/>
                <w:color w:val="000000"/>
                <w:szCs w:val="20"/>
                <w:vertAlign w:val="subscript"/>
              </w:rPr>
              <w:t>60</w:t>
            </w:r>
            <w:r w:rsidRPr="00B43706">
              <w:rPr>
                <w:rFonts w:eastAsia="Times New Roman"/>
                <w:color w:val="000000"/>
                <w:szCs w:val="20"/>
              </w:rPr>
              <w:t xml:space="preserve"> kg ha</w:t>
            </w:r>
            <w:r w:rsidRPr="00B43706">
              <w:rPr>
                <w:rFonts w:eastAsia="Times New Roman"/>
                <w:color w:val="000000"/>
                <w:szCs w:val="20"/>
                <w:vertAlign w:val="superscript"/>
              </w:rPr>
              <w:t>-1</w:t>
            </w:r>
          </w:p>
        </w:tc>
        <w:tc>
          <w:tcPr>
            <w:tcW w:w="585" w:type="pct"/>
            <w:shd w:val="clear" w:color="auto" w:fill="auto"/>
            <w:noWrap/>
          </w:tcPr>
          <w:p w:rsidR="00757CC1" w:rsidRPr="00B43706" w:rsidRDefault="00757CC1" w:rsidP="00125504">
            <w:pPr>
              <w:jc w:val="center"/>
              <w:rPr>
                <w:szCs w:val="20"/>
              </w:rPr>
            </w:pPr>
            <w:r w:rsidRPr="00B43706">
              <w:rPr>
                <w:szCs w:val="20"/>
              </w:rPr>
              <w:t>3.10</w:t>
            </w:r>
          </w:p>
        </w:tc>
        <w:tc>
          <w:tcPr>
            <w:tcW w:w="621" w:type="pct"/>
            <w:shd w:val="clear" w:color="auto" w:fill="auto"/>
            <w:noWrap/>
          </w:tcPr>
          <w:p w:rsidR="00757CC1" w:rsidRPr="00B43706" w:rsidRDefault="00757CC1" w:rsidP="00125504">
            <w:pPr>
              <w:jc w:val="center"/>
              <w:rPr>
                <w:szCs w:val="20"/>
              </w:rPr>
            </w:pPr>
            <w:r w:rsidRPr="00B43706">
              <w:rPr>
                <w:szCs w:val="20"/>
              </w:rPr>
              <w:t>3.05</w:t>
            </w:r>
          </w:p>
        </w:tc>
        <w:tc>
          <w:tcPr>
            <w:tcW w:w="559" w:type="pct"/>
            <w:shd w:val="clear" w:color="auto" w:fill="auto"/>
            <w:noWrap/>
          </w:tcPr>
          <w:p w:rsidR="00757CC1" w:rsidRPr="00B43706" w:rsidRDefault="00757CC1" w:rsidP="00125504">
            <w:pPr>
              <w:jc w:val="center"/>
              <w:rPr>
                <w:szCs w:val="20"/>
              </w:rPr>
            </w:pPr>
            <w:r w:rsidRPr="00B43706">
              <w:rPr>
                <w:szCs w:val="20"/>
              </w:rPr>
              <w:t>3.08</w:t>
            </w:r>
          </w:p>
        </w:tc>
        <w:tc>
          <w:tcPr>
            <w:tcW w:w="584" w:type="pct"/>
            <w:shd w:val="clear" w:color="auto" w:fill="auto"/>
            <w:noWrap/>
          </w:tcPr>
          <w:p w:rsidR="00757CC1" w:rsidRPr="00B43706" w:rsidRDefault="00757CC1" w:rsidP="00125504">
            <w:pPr>
              <w:jc w:val="center"/>
              <w:rPr>
                <w:szCs w:val="20"/>
              </w:rPr>
            </w:pPr>
            <w:r w:rsidRPr="00B43706">
              <w:rPr>
                <w:szCs w:val="20"/>
              </w:rPr>
              <w:t>3.28</w:t>
            </w:r>
          </w:p>
        </w:tc>
        <w:tc>
          <w:tcPr>
            <w:tcW w:w="621" w:type="pct"/>
            <w:shd w:val="clear" w:color="auto" w:fill="auto"/>
            <w:noWrap/>
          </w:tcPr>
          <w:p w:rsidR="00757CC1" w:rsidRPr="00B43706" w:rsidRDefault="00757CC1" w:rsidP="00125504">
            <w:pPr>
              <w:jc w:val="center"/>
              <w:rPr>
                <w:szCs w:val="20"/>
              </w:rPr>
            </w:pPr>
            <w:r w:rsidRPr="00B43706">
              <w:rPr>
                <w:szCs w:val="20"/>
              </w:rPr>
              <w:t>3.25</w:t>
            </w:r>
          </w:p>
        </w:tc>
        <w:tc>
          <w:tcPr>
            <w:tcW w:w="560" w:type="pct"/>
            <w:shd w:val="clear" w:color="auto" w:fill="auto"/>
            <w:noWrap/>
          </w:tcPr>
          <w:p w:rsidR="00757CC1" w:rsidRPr="00B43706" w:rsidRDefault="00757CC1" w:rsidP="00125504">
            <w:pPr>
              <w:jc w:val="center"/>
              <w:rPr>
                <w:szCs w:val="20"/>
              </w:rPr>
            </w:pPr>
            <w:r w:rsidRPr="00B43706">
              <w:rPr>
                <w:szCs w:val="20"/>
              </w:rPr>
              <w:t>3.27</w:t>
            </w:r>
          </w:p>
        </w:tc>
      </w:tr>
      <w:tr w:rsidR="00757CC1" w:rsidRPr="00B43706" w:rsidTr="00125504">
        <w:trPr>
          <w:trHeight w:val="432"/>
        </w:trPr>
        <w:tc>
          <w:tcPr>
            <w:tcW w:w="1470" w:type="pct"/>
            <w:shd w:val="clear" w:color="auto" w:fill="auto"/>
            <w:noWrap/>
            <w:vAlign w:val="center"/>
            <w:hideMark/>
          </w:tcPr>
          <w:p w:rsidR="00757CC1" w:rsidRPr="00B43706" w:rsidRDefault="00757CC1" w:rsidP="00125504">
            <w:pPr>
              <w:spacing w:after="0"/>
              <w:rPr>
                <w:rFonts w:eastAsia="Times New Roman"/>
                <w:color w:val="000000"/>
                <w:szCs w:val="20"/>
              </w:rPr>
            </w:pPr>
            <w:r w:rsidRPr="00B43706">
              <w:rPr>
                <w:rFonts w:eastAsia="Times New Roman"/>
                <w:color w:val="000000"/>
                <w:szCs w:val="20"/>
              </w:rPr>
              <w:t>Mean</w:t>
            </w:r>
          </w:p>
        </w:tc>
        <w:tc>
          <w:tcPr>
            <w:tcW w:w="585" w:type="pct"/>
            <w:shd w:val="clear" w:color="auto" w:fill="auto"/>
            <w:noWrap/>
          </w:tcPr>
          <w:p w:rsidR="00757CC1" w:rsidRPr="00B43706" w:rsidRDefault="00757CC1" w:rsidP="00125504">
            <w:pPr>
              <w:jc w:val="center"/>
              <w:rPr>
                <w:szCs w:val="20"/>
              </w:rPr>
            </w:pPr>
            <w:r w:rsidRPr="00B43706">
              <w:rPr>
                <w:szCs w:val="20"/>
              </w:rPr>
              <w:t>2.93</w:t>
            </w:r>
          </w:p>
        </w:tc>
        <w:tc>
          <w:tcPr>
            <w:tcW w:w="621" w:type="pct"/>
            <w:shd w:val="clear" w:color="auto" w:fill="auto"/>
            <w:noWrap/>
          </w:tcPr>
          <w:p w:rsidR="00757CC1" w:rsidRPr="00B43706" w:rsidRDefault="00757CC1" w:rsidP="00125504">
            <w:pPr>
              <w:jc w:val="center"/>
              <w:rPr>
                <w:szCs w:val="20"/>
              </w:rPr>
            </w:pPr>
            <w:r w:rsidRPr="00B43706">
              <w:rPr>
                <w:szCs w:val="20"/>
              </w:rPr>
              <w:t>2.81</w:t>
            </w:r>
          </w:p>
        </w:tc>
        <w:tc>
          <w:tcPr>
            <w:tcW w:w="559" w:type="pct"/>
            <w:shd w:val="clear" w:color="auto" w:fill="auto"/>
            <w:noWrap/>
          </w:tcPr>
          <w:p w:rsidR="00757CC1" w:rsidRPr="00B43706" w:rsidRDefault="00757CC1" w:rsidP="00125504">
            <w:pPr>
              <w:jc w:val="center"/>
              <w:rPr>
                <w:szCs w:val="20"/>
              </w:rPr>
            </w:pPr>
          </w:p>
        </w:tc>
        <w:tc>
          <w:tcPr>
            <w:tcW w:w="584" w:type="pct"/>
            <w:shd w:val="clear" w:color="auto" w:fill="auto"/>
            <w:noWrap/>
          </w:tcPr>
          <w:p w:rsidR="00757CC1" w:rsidRPr="00B43706" w:rsidRDefault="00757CC1" w:rsidP="00125504">
            <w:pPr>
              <w:jc w:val="center"/>
              <w:rPr>
                <w:szCs w:val="20"/>
              </w:rPr>
            </w:pPr>
            <w:r w:rsidRPr="00B43706">
              <w:rPr>
                <w:szCs w:val="20"/>
              </w:rPr>
              <w:t>2.78</w:t>
            </w:r>
          </w:p>
        </w:tc>
        <w:tc>
          <w:tcPr>
            <w:tcW w:w="621" w:type="pct"/>
            <w:shd w:val="clear" w:color="auto" w:fill="auto"/>
            <w:noWrap/>
          </w:tcPr>
          <w:p w:rsidR="00757CC1" w:rsidRPr="00B43706" w:rsidRDefault="00757CC1" w:rsidP="00125504">
            <w:pPr>
              <w:jc w:val="center"/>
              <w:rPr>
                <w:szCs w:val="20"/>
              </w:rPr>
            </w:pPr>
            <w:r w:rsidRPr="00B43706">
              <w:rPr>
                <w:szCs w:val="20"/>
              </w:rPr>
              <w:t>2.70</w:t>
            </w:r>
          </w:p>
        </w:tc>
        <w:tc>
          <w:tcPr>
            <w:tcW w:w="560" w:type="pct"/>
            <w:shd w:val="clear" w:color="auto" w:fill="auto"/>
            <w:noWrap/>
          </w:tcPr>
          <w:p w:rsidR="00757CC1" w:rsidRPr="00B43706" w:rsidRDefault="00757CC1" w:rsidP="00125504">
            <w:pPr>
              <w:jc w:val="center"/>
              <w:rPr>
                <w:szCs w:val="20"/>
              </w:rPr>
            </w:pPr>
          </w:p>
        </w:tc>
      </w:tr>
      <w:tr w:rsidR="00757CC1" w:rsidRPr="00B43706" w:rsidTr="00125504">
        <w:trPr>
          <w:trHeight w:val="393"/>
        </w:trPr>
        <w:tc>
          <w:tcPr>
            <w:tcW w:w="1470" w:type="pct"/>
            <w:shd w:val="clear" w:color="auto" w:fill="auto"/>
            <w:noWrap/>
            <w:vAlign w:val="center"/>
            <w:hideMark/>
          </w:tcPr>
          <w:p w:rsidR="00757CC1" w:rsidRPr="00B43706" w:rsidRDefault="00757CC1" w:rsidP="00125504">
            <w:pPr>
              <w:spacing w:after="0"/>
              <w:rPr>
                <w:rFonts w:eastAsia="Times New Roman"/>
                <w:b/>
                <w:color w:val="000000"/>
                <w:szCs w:val="20"/>
              </w:rPr>
            </w:pPr>
          </w:p>
        </w:tc>
        <w:tc>
          <w:tcPr>
            <w:tcW w:w="585" w:type="pct"/>
            <w:shd w:val="clear" w:color="auto" w:fill="auto"/>
            <w:noWrap/>
            <w:vAlign w:val="center"/>
            <w:hideMark/>
          </w:tcPr>
          <w:p w:rsidR="00757CC1" w:rsidRPr="00B43706" w:rsidRDefault="00757CC1" w:rsidP="00125504">
            <w:pPr>
              <w:pStyle w:val="NoSpacing"/>
              <w:jc w:val="center"/>
              <w:rPr>
                <w:rFonts w:eastAsia="Times New Roman"/>
                <w:b/>
                <w:color w:val="000000"/>
                <w:szCs w:val="20"/>
              </w:rPr>
            </w:pPr>
            <w:r w:rsidRPr="00B43706">
              <w:rPr>
                <w:rFonts w:eastAsia="Times New Roman"/>
                <w:b/>
                <w:color w:val="000000"/>
                <w:szCs w:val="20"/>
              </w:rPr>
              <w:t>SEd</w:t>
            </w:r>
          </w:p>
        </w:tc>
        <w:tc>
          <w:tcPr>
            <w:tcW w:w="621" w:type="pct"/>
            <w:shd w:val="clear" w:color="auto" w:fill="auto"/>
            <w:noWrap/>
            <w:vAlign w:val="center"/>
            <w:hideMark/>
          </w:tcPr>
          <w:p w:rsidR="00757CC1" w:rsidRPr="00B43706" w:rsidRDefault="00757CC1" w:rsidP="00125504">
            <w:pPr>
              <w:pStyle w:val="NoSpacing"/>
              <w:jc w:val="center"/>
              <w:rPr>
                <w:rFonts w:eastAsia="Times New Roman"/>
                <w:b/>
                <w:color w:val="000000"/>
                <w:szCs w:val="20"/>
              </w:rPr>
            </w:pPr>
            <w:r w:rsidRPr="00B43706">
              <w:rPr>
                <w:rFonts w:eastAsia="Times New Roman"/>
                <w:b/>
                <w:color w:val="000000"/>
                <w:szCs w:val="20"/>
              </w:rPr>
              <w:t>CD</w:t>
            </w:r>
          </w:p>
        </w:tc>
        <w:tc>
          <w:tcPr>
            <w:tcW w:w="559" w:type="pct"/>
            <w:shd w:val="clear" w:color="auto" w:fill="auto"/>
            <w:noWrap/>
            <w:vAlign w:val="center"/>
            <w:hideMark/>
          </w:tcPr>
          <w:p w:rsidR="00757CC1" w:rsidRPr="00B43706" w:rsidRDefault="00757CC1" w:rsidP="00125504">
            <w:pPr>
              <w:pStyle w:val="NoSpacing"/>
              <w:jc w:val="center"/>
              <w:rPr>
                <w:rFonts w:eastAsia="Times New Roman"/>
                <w:b/>
                <w:color w:val="000000"/>
                <w:szCs w:val="20"/>
              </w:rPr>
            </w:pPr>
          </w:p>
        </w:tc>
        <w:tc>
          <w:tcPr>
            <w:tcW w:w="584" w:type="pct"/>
            <w:shd w:val="clear" w:color="auto" w:fill="auto"/>
            <w:noWrap/>
            <w:vAlign w:val="center"/>
            <w:hideMark/>
          </w:tcPr>
          <w:p w:rsidR="00757CC1" w:rsidRPr="00B43706" w:rsidRDefault="00757CC1" w:rsidP="00125504">
            <w:pPr>
              <w:pStyle w:val="NoSpacing"/>
              <w:jc w:val="center"/>
              <w:rPr>
                <w:rFonts w:eastAsia="Times New Roman"/>
                <w:b/>
                <w:color w:val="000000"/>
                <w:szCs w:val="20"/>
              </w:rPr>
            </w:pPr>
            <w:r w:rsidRPr="00B43706">
              <w:rPr>
                <w:rFonts w:eastAsia="Times New Roman"/>
                <w:b/>
                <w:color w:val="000000"/>
                <w:szCs w:val="20"/>
              </w:rPr>
              <w:t>SEd</w:t>
            </w:r>
          </w:p>
        </w:tc>
        <w:tc>
          <w:tcPr>
            <w:tcW w:w="621" w:type="pct"/>
            <w:shd w:val="clear" w:color="auto" w:fill="auto"/>
            <w:noWrap/>
            <w:vAlign w:val="center"/>
            <w:hideMark/>
          </w:tcPr>
          <w:p w:rsidR="00757CC1" w:rsidRPr="00B43706" w:rsidRDefault="00757CC1" w:rsidP="00125504">
            <w:pPr>
              <w:pStyle w:val="NoSpacing"/>
              <w:jc w:val="center"/>
              <w:rPr>
                <w:rFonts w:eastAsia="Times New Roman"/>
                <w:b/>
                <w:color w:val="000000"/>
                <w:szCs w:val="20"/>
              </w:rPr>
            </w:pPr>
            <w:r w:rsidRPr="00B43706">
              <w:rPr>
                <w:rFonts w:eastAsia="Times New Roman"/>
                <w:b/>
                <w:color w:val="000000"/>
                <w:szCs w:val="20"/>
              </w:rPr>
              <w:t>CD</w:t>
            </w:r>
          </w:p>
        </w:tc>
        <w:tc>
          <w:tcPr>
            <w:tcW w:w="560" w:type="pct"/>
            <w:shd w:val="clear" w:color="auto" w:fill="auto"/>
            <w:noWrap/>
            <w:vAlign w:val="center"/>
            <w:hideMark/>
          </w:tcPr>
          <w:p w:rsidR="00757CC1" w:rsidRPr="00B43706" w:rsidRDefault="00757CC1" w:rsidP="00125504">
            <w:pPr>
              <w:pStyle w:val="NoSpacing"/>
              <w:jc w:val="center"/>
              <w:rPr>
                <w:rFonts w:eastAsia="Times New Roman"/>
                <w:color w:val="000000"/>
                <w:szCs w:val="20"/>
              </w:rPr>
            </w:pPr>
          </w:p>
        </w:tc>
      </w:tr>
      <w:tr w:rsidR="00757CC1" w:rsidRPr="00B43706" w:rsidTr="00125504">
        <w:trPr>
          <w:trHeight w:val="393"/>
        </w:trPr>
        <w:tc>
          <w:tcPr>
            <w:tcW w:w="1470" w:type="pct"/>
            <w:shd w:val="clear" w:color="auto" w:fill="auto"/>
            <w:noWrap/>
            <w:vAlign w:val="center"/>
            <w:hideMark/>
          </w:tcPr>
          <w:p w:rsidR="00757CC1" w:rsidRPr="00B43706" w:rsidRDefault="00757CC1" w:rsidP="00125504">
            <w:pPr>
              <w:spacing w:after="0"/>
              <w:rPr>
                <w:rFonts w:eastAsia="Times New Roman"/>
                <w:color w:val="000000"/>
                <w:szCs w:val="20"/>
              </w:rPr>
            </w:pPr>
            <w:r w:rsidRPr="00B43706">
              <w:rPr>
                <w:rFonts w:eastAsia="Times New Roman"/>
                <w:color w:val="000000"/>
                <w:szCs w:val="20"/>
              </w:rPr>
              <w:t>V</w:t>
            </w:r>
          </w:p>
        </w:tc>
        <w:tc>
          <w:tcPr>
            <w:tcW w:w="585" w:type="pct"/>
            <w:shd w:val="clear" w:color="auto" w:fill="auto"/>
            <w:noWrap/>
            <w:vAlign w:val="center"/>
          </w:tcPr>
          <w:p w:rsidR="00757CC1" w:rsidRPr="00B43706" w:rsidRDefault="00757CC1" w:rsidP="00125504">
            <w:pPr>
              <w:pStyle w:val="NoSpacing"/>
              <w:jc w:val="center"/>
              <w:rPr>
                <w:rFonts w:eastAsia="Times New Roman"/>
                <w:color w:val="000000"/>
                <w:szCs w:val="20"/>
              </w:rPr>
            </w:pPr>
            <w:r w:rsidRPr="00B43706">
              <w:rPr>
                <w:rFonts w:eastAsia="Times New Roman"/>
                <w:color w:val="000000"/>
                <w:szCs w:val="20"/>
              </w:rPr>
              <w:t>0.03</w:t>
            </w:r>
          </w:p>
        </w:tc>
        <w:tc>
          <w:tcPr>
            <w:tcW w:w="621" w:type="pct"/>
            <w:shd w:val="clear" w:color="auto" w:fill="auto"/>
            <w:noWrap/>
            <w:vAlign w:val="center"/>
          </w:tcPr>
          <w:p w:rsidR="00757CC1" w:rsidRPr="00B43706" w:rsidRDefault="00757CC1" w:rsidP="00125504">
            <w:pPr>
              <w:pStyle w:val="NoSpacing"/>
              <w:jc w:val="center"/>
              <w:rPr>
                <w:rFonts w:eastAsia="Times New Roman"/>
                <w:color w:val="000000"/>
                <w:szCs w:val="20"/>
              </w:rPr>
            </w:pPr>
            <w:r w:rsidRPr="00B43706">
              <w:rPr>
                <w:rFonts w:eastAsia="Times New Roman"/>
                <w:color w:val="000000"/>
                <w:szCs w:val="20"/>
              </w:rPr>
              <w:t>0.12</w:t>
            </w:r>
          </w:p>
        </w:tc>
        <w:tc>
          <w:tcPr>
            <w:tcW w:w="559" w:type="pct"/>
            <w:shd w:val="clear" w:color="auto" w:fill="auto"/>
            <w:noWrap/>
            <w:vAlign w:val="center"/>
          </w:tcPr>
          <w:p w:rsidR="00757CC1" w:rsidRPr="00B43706" w:rsidRDefault="00757CC1" w:rsidP="00125504">
            <w:pPr>
              <w:pStyle w:val="NoSpacing"/>
              <w:jc w:val="center"/>
              <w:rPr>
                <w:rFonts w:eastAsia="Times New Roman"/>
                <w:color w:val="000000"/>
                <w:szCs w:val="20"/>
              </w:rPr>
            </w:pPr>
          </w:p>
        </w:tc>
        <w:tc>
          <w:tcPr>
            <w:tcW w:w="584" w:type="pct"/>
            <w:shd w:val="clear" w:color="auto" w:fill="auto"/>
            <w:noWrap/>
            <w:vAlign w:val="center"/>
          </w:tcPr>
          <w:p w:rsidR="00757CC1" w:rsidRPr="00B43706" w:rsidRDefault="00757CC1" w:rsidP="00125504">
            <w:pPr>
              <w:pStyle w:val="NoSpacing"/>
              <w:jc w:val="center"/>
              <w:rPr>
                <w:rFonts w:eastAsia="Times New Roman"/>
                <w:color w:val="000000"/>
                <w:szCs w:val="20"/>
              </w:rPr>
            </w:pPr>
            <w:r w:rsidRPr="00B43706">
              <w:rPr>
                <w:rFonts w:eastAsia="Times New Roman"/>
                <w:color w:val="000000"/>
                <w:szCs w:val="20"/>
              </w:rPr>
              <w:t>0.01</w:t>
            </w:r>
          </w:p>
        </w:tc>
        <w:tc>
          <w:tcPr>
            <w:tcW w:w="621" w:type="pct"/>
            <w:shd w:val="clear" w:color="auto" w:fill="auto"/>
            <w:noWrap/>
            <w:vAlign w:val="center"/>
          </w:tcPr>
          <w:p w:rsidR="00757CC1" w:rsidRPr="00B43706" w:rsidRDefault="00757CC1" w:rsidP="00125504">
            <w:pPr>
              <w:pStyle w:val="NoSpacing"/>
              <w:jc w:val="center"/>
              <w:rPr>
                <w:rFonts w:eastAsia="Times New Roman"/>
                <w:color w:val="000000"/>
                <w:szCs w:val="20"/>
              </w:rPr>
            </w:pPr>
            <w:r w:rsidRPr="00B43706">
              <w:rPr>
                <w:rFonts w:eastAsia="Times New Roman"/>
                <w:color w:val="000000"/>
                <w:szCs w:val="20"/>
              </w:rPr>
              <w:t>0.05</w:t>
            </w:r>
          </w:p>
        </w:tc>
        <w:tc>
          <w:tcPr>
            <w:tcW w:w="560" w:type="pct"/>
            <w:shd w:val="clear" w:color="auto" w:fill="auto"/>
            <w:noWrap/>
            <w:vAlign w:val="center"/>
            <w:hideMark/>
          </w:tcPr>
          <w:p w:rsidR="00757CC1" w:rsidRPr="00B43706" w:rsidRDefault="00757CC1" w:rsidP="00125504">
            <w:pPr>
              <w:pStyle w:val="NoSpacing"/>
              <w:jc w:val="center"/>
              <w:rPr>
                <w:rFonts w:eastAsia="Times New Roman"/>
                <w:color w:val="000000"/>
                <w:szCs w:val="20"/>
              </w:rPr>
            </w:pPr>
          </w:p>
        </w:tc>
      </w:tr>
      <w:tr w:rsidR="00757CC1" w:rsidRPr="00B43706" w:rsidTr="00125504">
        <w:trPr>
          <w:trHeight w:val="393"/>
        </w:trPr>
        <w:tc>
          <w:tcPr>
            <w:tcW w:w="1470" w:type="pct"/>
            <w:shd w:val="clear" w:color="auto" w:fill="auto"/>
            <w:noWrap/>
            <w:vAlign w:val="center"/>
            <w:hideMark/>
          </w:tcPr>
          <w:p w:rsidR="00757CC1" w:rsidRPr="00B43706" w:rsidRDefault="00757CC1" w:rsidP="00125504">
            <w:pPr>
              <w:spacing w:after="0"/>
              <w:rPr>
                <w:rFonts w:eastAsia="Times New Roman"/>
                <w:color w:val="000000"/>
                <w:szCs w:val="20"/>
              </w:rPr>
            </w:pPr>
            <w:r w:rsidRPr="00B43706">
              <w:rPr>
                <w:rFonts w:eastAsia="Times New Roman"/>
                <w:color w:val="000000"/>
                <w:szCs w:val="20"/>
              </w:rPr>
              <w:t>T</w:t>
            </w:r>
          </w:p>
        </w:tc>
        <w:tc>
          <w:tcPr>
            <w:tcW w:w="585" w:type="pct"/>
            <w:shd w:val="clear" w:color="auto" w:fill="auto"/>
            <w:noWrap/>
            <w:vAlign w:val="center"/>
          </w:tcPr>
          <w:p w:rsidR="00757CC1" w:rsidRPr="00B43706" w:rsidRDefault="00757CC1" w:rsidP="00125504">
            <w:pPr>
              <w:pStyle w:val="NoSpacing"/>
              <w:jc w:val="center"/>
              <w:rPr>
                <w:rFonts w:eastAsia="Times New Roman"/>
                <w:color w:val="000000"/>
                <w:szCs w:val="20"/>
              </w:rPr>
            </w:pPr>
            <w:r w:rsidRPr="00B43706">
              <w:rPr>
                <w:rFonts w:eastAsia="Times New Roman"/>
                <w:color w:val="000000"/>
                <w:szCs w:val="20"/>
              </w:rPr>
              <w:t>0.06</w:t>
            </w:r>
          </w:p>
        </w:tc>
        <w:tc>
          <w:tcPr>
            <w:tcW w:w="621" w:type="pct"/>
            <w:shd w:val="clear" w:color="auto" w:fill="auto"/>
            <w:noWrap/>
            <w:vAlign w:val="center"/>
          </w:tcPr>
          <w:p w:rsidR="00757CC1" w:rsidRPr="00B43706" w:rsidRDefault="00757CC1" w:rsidP="00125504">
            <w:pPr>
              <w:pStyle w:val="NoSpacing"/>
              <w:jc w:val="center"/>
              <w:rPr>
                <w:rFonts w:eastAsia="Times New Roman"/>
                <w:color w:val="000000"/>
                <w:szCs w:val="20"/>
              </w:rPr>
            </w:pPr>
            <w:r w:rsidRPr="00B43706">
              <w:rPr>
                <w:rFonts w:eastAsia="Times New Roman"/>
                <w:color w:val="000000"/>
                <w:szCs w:val="20"/>
              </w:rPr>
              <w:t>0.12</w:t>
            </w:r>
          </w:p>
        </w:tc>
        <w:tc>
          <w:tcPr>
            <w:tcW w:w="559" w:type="pct"/>
            <w:shd w:val="clear" w:color="auto" w:fill="auto"/>
            <w:noWrap/>
            <w:vAlign w:val="center"/>
          </w:tcPr>
          <w:p w:rsidR="00757CC1" w:rsidRPr="00B43706" w:rsidRDefault="00757CC1" w:rsidP="00125504">
            <w:pPr>
              <w:pStyle w:val="NoSpacing"/>
              <w:jc w:val="center"/>
              <w:rPr>
                <w:rFonts w:eastAsia="Times New Roman"/>
                <w:color w:val="000000"/>
                <w:szCs w:val="20"/>
              </w:rPr>
            </w:pPr>
          </w:p>
        </w:tc>
        <w:tc>
          <w:tcPr>
            <w:tcW w:w="584" w:type="pct"/>
            <w:shd w:val="clear" w:color="auto" w:fill="auto"/>
            <w:noWrap/>
            <w:vAlign w:val="center"/>
          </w:tcPr>
          <w:p w:rsidR="00757CC1" w:rsidRPr="00B43706" w:rsidRDefault="00757CC1" w:rsidP="00125504">
            <w:pPr>
              <w:pStyle w:val="NoSpacing"/>
              <w:jc w:val="center"/>
              <w:rPr>
                <w:rFonts w:eastAsia="Times New Roman"/>
                <w:color w:val="000000"/>
                <w:szCs w:val="20"/>
              </w:rPr>
            </w:pPr>
            <w:r w:rsidRPr="00B43706">
              <w:rPr>
                <w:rFonts w:eastAsia="Times New Roman"/>
                <w:color w:val="000000"/>
                <w:szCs w:val="20"/>
              </w:rPr>
              <w:t>0.05</w:t>
            </w:r>
          </w:p>
        </w:tc>
        <w:tc>
          <w:tcPr>
            <w:tcW w:w="621" w:type="pct"/>
            <w:shd w:val="clear" w:color="auto" w:fill="auto"/>
            <w:noWrap/>
            <w:vAlign w:val="center"/>
          </w:tcPr>
          <w:p w:rsidR="00757CC1" w:rsidRPr="00B43706" w:rsidRDefault="00757CC1" w:rsidP="00125504">
            <w:pPr>
              <w:pStyle w:val="NoSpacing"/>
              <w:jc w:val="center"/>
              <w:rPr>
                <w:rFonts w:eastAsia="Times New Roman"/>
                <w:color w:val="000000"/>
                <w:szCs w:val="20"/>
              </w:rPr>
            </w:pPr>
            <w:r w:rsidRPr="00B43706">
              <w:rPr>
                <w:rFonts w:eastAsia="Times New Roman"/>
                <w:color w:val="000000"/>
                <w:szCs w:val="20"/>
              </w:rPr>
              <w:t>0.10</w:t>
            </w:r>
          </w:p>
        </w:tc>
        <w:tc>
          <w:tcPr>
            <w:tcW w:w="560" w:type="pct"/>
            <w:shd w:val="clear" w:color="auto" w:fill="auto"/>
            <w:noWrap/>
            <w:vAlign w:val="center"/>
            <w:hideMark/>
          </w:tcPr>
          <w:p w:rsidR="00757CC1" w:rsidRPr="00B43706" w:rsidRDefault="00757CC1" w:rsidP="00125504">
            <w:pPr>
              <w:pStyle w:val="NoSpacing"/>
              <w:jc w:val="center"/>
              <w:rPr>
                <w:rFonts w:eastAsia="Times New Roman"/>
                <w:color w:val="000000"/>
                <w:szCs w:val="20"/>
              </w:rPr>
            </w:pPr>
          </w:p>
        </w:tc>
      </w:tr>
      <w:tr w:rsidR="00757CC1" w:rsidRPr="00B43706" w:rsidTr="00125504">
        <w:trPr>
          <w:trHeight w:val="393"/>
        </w:trPr>
        <w:tc>
          <w:tcPr>
            <w:tcW w:w="1470" w:type="pct"/>
            <w:shd w:val="clear" w:color="auto" w:fill="auto"/>
            <w:noWrap/>
            <w:vAlign w:val="center"/>
            <w:hideMark/>
          </w:tcPr>
          <w:p w:rsidR="00757CC1" w:rsidRPr="00B43706" w:rsidRDefault="00757CC1" w:rsidP="00125504">
            <w:pPr>
              <w:spacing w:after="0"/>
              <w:rPr>
                <w:rFonts w:eastAsia="Times New Roman"/>
                <w:color w:val="000000"/>
                <w:szCs w:val="20"/>
              </w:rPr>
            </w:pPr>
            <w:r w:rsidRPr="00B43706">
              <w:rPr>
                <w:rFonts w:eastAsia="Times New Roman"/>
                <w:color w:val="000000"/>
                <w:szCs w:val="20"/>
              </w:rPr>
              <w:t>V at T</w:t>
            </w:r>
          </w:p>
        </w:tc>
        <w:tc>
          <w:tcPr>
            <w:tcW w:w="585" w:type="pct"/>
            <w:shd w:val="clear" w:color="auto" w:fill="auto"/>
            <w:noWrap/>
            <w:vAlign w:val="center"/>
          </w:tcPr>
          <w:p w:rsidR="00757CC1" w:rsidRPr="00B43706" w:rsidRDefault="00757CC1" w:rsidP="00125504">
            <w:pPr>
              <w:pStyle w:val="NoSpacing"/>
              <w:jc w:val="center"/>
              <w:rPr>
                <w:rFonts w:eastAsia="Times New Roman"/>
                <w:color w:val="000000"/>
                <w:szCs w:val="20"/>
              </w:rPr>
            </w:pPr>
            <w:r w:rsidRPr="00B43706">
              <w:rPr>
                <w:rFonts w:eastAsia="Times New Roman"/>
                <w:color w:val="000000"/>
                <w:szCs w:val="20"/>
              </w:rPr>
              <w:t>0.08</w:t>
            </w:r>
          </w:p>
        </w:tc>
        <w:tc>
          <w:tcPr>
            <w:tcW w:w="621" w:type="pct"/>
            <w:shd w:val="clear" w:color="auto" w:fill="auto"/>
            <w:noWrap/>
            <w:vAlign w:val="center"/>
          </w:tcPr>
          <w:p w:rsidR="00757CC1" w:rsidRPr="00B43706" w:rsidRDefault="00757CC1" w:rsidP="00125504">
            <w:pPr>
              <w:pStyle w:val="NoSpacing"/>
              <w:jc w:val="center"/>
              <w:rPr>
                <w:rFonts w:eastAsia="Times New Roman"/>
                <w:color w:val="000000"/>
                <w:szCs w:val="20"/>
              </w:rPr>
            </w:pPr>
            <w:r w:rsidRPr="00B43706">
              <w:rPr>
                <w:rFonts w:eastAsia="Times New Roman"/>
                <w:color w:val="000000"/>
                <w:szCs w:val="20"/>
              </w:rPr>
              <w:t>0.20</w:t>
            </w:r>
          </w:p>
        </w:tc>
        <w:tc>
          <w:tcPr>
            <w:tcW w:w="559" w:type="pct"/>
            <w:shd w:val="clear" w:color="auto" w:fill="auto"/>
            <w:noWrap/>
            <w:vAlign w:val="center"/>
          </w:tcPr>
          <w:p w:rsidR="00757CC1" w:rsidRPr="00B43706" w:rsidRDefault="00757CC1" w:rsidP="00125504">
            <w:pPr>
              <w:pStyle w:val="NoSpacing"/>
              <w:jc w:val="center"/>
              <w:rPr>
                <w:rFonts w:eastAsia="Times New Roman"/>
                <w:color w:val="000000"/>
                <w:szCs w:val="20"/>
              </w:rPr>
            </w:pPr>
          </w:p>
        </w:tc>
        <w:tc>
          <w:tcPr>
            <w:tcW w:w="584" w:type="pct"/>
            <w:shd w:val="clear" w:color="auto" w:fill="auto"/>
            <w:noWrap/>
            <w:vAlign w:val="center"/>
          </w:tcPr>
          <w:p w:rsidR="00757CC1" w:rsidRPr="00B43706" w:rsidRDefault="00757CC1" w:rsidP="00125504">
            <w:pPr>
              <w:pStyle w:val="NoSpacing"/>
              <w:jc w:val="center"/>
              <w:rPr>
                <w:rFonts w:eastAsia="Times New Roman"/>
                <w:color w:val="000000"/>
                <w:szCs w:val="20"/>
              </w:rPr>
            </w:pPr>
            <w:r w:rsidRPr="00B43706">
              <w:rPr>
                <w:rFonts w:eastAsia="Times New Roman"/>
                <w:color w:val="000000"/>
                <w:szCs w:val="20"/>
              </w:rPr>
              <w:t>0.06</w:t>
            </w:r>
          </w:p>
        </w:tc>
        <w:tc>
          <w:tcPr>
            <w:tcW w:w="621" w:type="pct"/>
            <w:shd w:val="clear" w:color="auto" w:fill="auto"/>
            <w:noWrap/>
            <w:vAlign w:val="center"/>
          </w:tcPr>
          <w:p w:rsidR="00757CC1" w:rsidRPr="00B43706" w:rsidRDefault="00757CC1" w:rsidP="00125504">
            <w:pPr>
              <w:pStyle w:val="NoSpacing"/>
              <w:jc w:val="center"/>
              <w:rPr>
                <w:rFonts w:eastAsia="Times New Roman"/>
                <w:color w:val="000000"/>
                <w:szCs w:val="20"/>
              </w:rPr>
            </w:pPr>
            <w:r w:rsidRPr="00B43706">
              <w:rPr>
                <w:rFonts w:eastAsia="Times New Roman"/>
                <w:color w:val="000000"/>
                <w:szCs w:val="20"/>
              </w:rPr>
              <w:t>0.14</w:t>
            </w:r>
          </w:p>
        </w:tc>
        <w:tc>
          <w:tcPr>
            <w:tcW w:w="560" w:type="pct"/>
            <w:shd w:val="clear" w:color="auto" w:fill="auto"/>
            <w:noWrap/>
            <w:vAlign w:val="center"/>
            <w:hideMark/>
          </w:tcPr>
          <w:p w:rsidR="00757CC1" w:rsidRPr="00B43706" w:rsidRDefault="00757CC1" w:rsidP="00125504">
            <w:pPr>
              <w:pStyle w:val="NoSpacing"/>
              <w:jc w:val="center"/>
              <w:rPr>
                <w:rFonts w:eastAsia="Times New Roman"/>
                <w:color w:val="000000"/>
                <w:szCs w:val="20"/>
              </w:rPr>
            </w:pPr>
          </w:p>
        </w:tc>
      </w:tr>
      <w:tr w:rsidR="00757CC1" w:rsidRPr="00B43706" w:rsidTr="00125504">
        <w:trPr>
          <w:trHeight w:val="393"/>
        </w:trPr>
        <w:tc>
          <w:tcPr>
            <w:tcW w:w="1470" w:type="pct"/>
            <w:shd w:val="clear" w:color="auto" w:fill="auto"/>
            <w:noWrap/>
            <w:vAlign w:val="center"/>
            <w:hideMark/>
          </w:tcPr>
          <w:p w:rsidR="00757CC1" w:rsidRPr="00B43706" w:rsidRDefault="00757CC1" w:rsidP="00125504">
            <w:pPr>
              <w:spacing w:after="0"/>
              <w:rPr>
                <w:rFonts w:eastAsia="Times New Roman"/>
                <w:color w:val="000000"/>
                <w:szCs w:val="20"/>
              </w:rPr>
            </w:pPr>
            <w:r w:rsidRPr="00B43706">
              <w:rPr>
                <w:rFonts w:eastAsia="Times New Roman"/>
                <w:color w:val="000000"/>
                <w:szCs w:val="20"/>
              </w:rPr>
              <w:t>T at V</w:t>
            </w:r>
          </w:p>
        </w:tc>
        <w:tc>
          <w:tcPr>
            <w:tcW w:w="585" w:type="pct"/>
            <w:shd w:val="clear" w:color="auto" w:fill="auto"/>
            <w:noWrap/>
            <w:vAlign w:val="center"/>
          </w:tcPr>
          <w:p w:rsidR="00757CC1" w:rsidRPr="00B43706" w:rsidRDefault="00757CC1" w:rsidP="00125504">
            <w:pPr>
              <w:pStyle w:val="NoSpacing"/>
              <w:jc w:val="center"/>
              <w:rPr>
                <w:rFonts w:eastAsia="Times New Roman"/>
                <w:color w:val="000000"/>
                <w:szCs w:val="20"/>
              </w:rPr>
            </w:pPr>
            <w:r w:rsidRPr="00B43706">
              <w:rPr>
                <w:rFonts w:eastAsia="Times New Roman"/>
                <w:color w:val="000000"/>
                <w:szCs w:val="20"/>
              </w:rPr>
              <w:t>0.09</w:t>
            </w:r>
          </w:p>
        </w:tc>
        <w:tc>
          <w:tcPr>
            <w:tcW w:w="621" w:type="pct"/>
            <w:shd w:val="clear" w:color="auto" w:fill="auto"/>
            <w:noWrap/>
            <w:vAlign w:val="center"/>
          </w:tcPr>
          <w:p w:rsidR="00757CC1" w:rsidRPr="00B43706" w:rsidRDefault="00757CC1" w:rsidP="00125504">
            <w:pPr>
              <w:pStyle w:val="NoSpacing"/>
              <w:jc w:val="center"/>
              <w:rPr>
                <w:rFonts w:eastAsia="Times New Roman"/>
                <w:color w:val="000000"/>
                <w:szCs w:val="20"/>
              </w:rPr>
            </w:pPr>
            <w:r w:rsidRPr="00B43706">
              <w:rPr>
                <w:rFonts w:eastAsia="Times New Roman"/>
                <w:color w:val="000000"/>
                <w:szCs w:val="20"/>
              </w:rPr>
              <w:t>0.18</w:t>
            </w:r>
          </w:p>
        </w:tc>
        <w:tc>
          <w:tcPr>
            <w:tcW w:w="559" w:type="pct"/>
            <w:shd w:val="clear" w:color="auto" w:fill="auto"/>
            <w:noWrap/>
            <w:vAlign w:val="center"/>
          </w:tcPr>
          <w:p w:rsidR="00757CC1" w:rsidRPr="00B43706" w:rsidRDefault="00757CC1" w:rsidP="00125504">
            <w:pPr>
              <w:pStyle w:val="NoSpacing"/>
              <w:jc w:val="center"/>
              <w:rPr>
                <w:rFonts w:eastAsia="Times New Roman"/>
                <w:color w:val="000000"/>
                <w:szCs w:val="20"/>
              </w:rPr>
            </w:pPr>
          </w:p>
        </w:tc>
        <w:tc>
          <w:tcPr>
            <w:tcW w:w="584" w:type="pct"/>
            <w:shd w:val="clear" w:color="auto" w:fill="auto"/>
            <w:noWrap/>
            <w:vAlign w:val="center"/>
          </w:tcPr>
          <w:p w:rsidR="00757CC1" w:rsidRPr="00B43706" w:rsidRDefault="00757CC1" w:rsidP="00125504">
            <w:pPr>
              <w:pStyle w:val="NoSpacing"/>
              <w:jc w:val="center"/>
              <w:rPr>
                <w:rFonts w:eastAsia="Times New Roman"/>
                <w:color w:val="000000"/>
                <w:szCs w:val="20"/>
              </w:rPr>
            </w:pPr>
            <w:r w:rsidRPr="00B43706">
              <w:rPr>
                <w:rFonts w:eastAsia="Times New Roman"/>
                <w:color w:val="000000"/>
                <w:szCs w:val="20"/>
              </w:rPr>
              <w:t>0.07</w:t>
            </w:r>
          </w:p>
        </w:tc>
        <w:tc>
          <w:tcPr>
            <w:tcW w:w="621" w:type="pct"/>
            <w:shd w:val="clear" w:color="auto" w:fill="auto"/>
            <w:noWrap/>
            <w:vAlign w:val="center"/>
          </w:tcPr>
          <w:p w:rsidR="00757CC1" w:rsidRPr="00B43706" w:rsidRDefault="00757CC1" w:rsidP="00125504">
            <w:pPr>
              <w:pStyle w:val="NoSpacing"/>
              <w:jc w:val="center"/>
              <w:rPr>
                <w:rFonts w:eastAsia="Times New Roman"/>
                <w:color w:val="000000"/>
                <w:szCs w:val="20"/>
              </w:rPr>
            </w:pPr>
            <w:r w:rsidRPr="00B43706">
              <w:rPr>
                <w:rFonts w:eastAsia="Times New Roman"/>
                <w:color w:val="000000"/>
                <w:szCs w:val="20"/>
              </w:rPr>
              <w:t>0.15</w:t>
            </w:r>
          </w:p>
        </w:tc>
        <w:tc>
          <w:tcPr>
            <w:tcW w:w="560" w:type="pct"/>
            <w:shd w:val="clear" w:color="auto" w:fill="auto"/>
            <w:noWrap/>
            <w:vAlign w:val="center"/>
            <w:hideMark/>
          </w:tcPr>
          <w:p w:rsidR="00757CC1" w:rsidRPr="00B43706" w:rsidRDefault="00757CC1" w:rsidP="00125504">
            <w:pPr>
              <w:pStyle w:val="NoSpacing"/>
              <w:jc w:val="center"/>
              <w:rPr>
                <w:rFonts w:eastAsia="Times New Roman"/>
                <w:color w:val="000000"/>
                <w:szCs w:val="20"/>
              </w:rPr>
            </w:pPr>
          </w:p>
        </w:tc>
      </w:tr>
    </w:tbl>
    <w:p w:rsidR="00757CC1" w:rsidRPr="00B43706" w:rsidRDefault="00C33205" w:rsidP="00757CC1">
      <w:pPr>
        <w:rPr>
          <w:szCs w:val="20"/>
        </w:rPr>
      </w:pPr>
      <w:ins w:id="57" w:author="admin" w:date="2021-01-26T07:51:00Z">
        <w:r>
          <w:rPr>
            <w:szCs w:val="20"/>
          </w:rPr>
          <w:t xml:space="preserve">*RDF </w:t>
        </w:r>
      </w:ins>
      <w:ins w:id="58" w:author="admin" w:date="2021-01-26T07:52:00Z">
        <w:r>
          <w:rPr>
            <w:szCs w:val="20"/>
          </w:rPr>
          <w:t>–</w:t>
        </w:r>
        <w:r>
          <w:rPr>
            <w:szCs w:val="20"/>
          </w:rPr>
          <w:t>R</w:t>
        </w:r>
        <w:r>
          <w:rPr>
            <w:szCs w:val="20"/>
          </w:rPr>
          <w:t>ecommended</w:t>
        </w:r>
        <w:r>
          <w:rPr>
            <w:szCs w:val="20"/>
          </w:rPr>
          <w:t xml:space="preserve"> dose of NPK fertilizers</w:t>
        </w:r>
      </w:ins>
    </w:p>
    <w:p w:rsidR="00B43706" w:rsidRPr="00B43706" w:rsidRDefault="00B43706" w:rsidP="00757CC1">
      <w:pPr>
        <w:rPr>
          <w:szCs w:val="20"/>
        </w:rPr>
      </w:pPr>
    </w:p>
    <w:p w:rsidR="00B43706" w:rsidRPr="00B43706" w:rsidRDefault="00B43706" w:rsidP="00B43706">
      <w:pPr>
        <w:spacing w:after="0"/>
        <w:rPr>
          <w:b/>
          <w:szCs w:val="20"/>
        </w:rPr>
      </w:pPr>
      <w:r w:rsidRPr="00B43706">
        <w:rPr>
          <w:b/>
          <w:szCs w:val="20"/>
        </w:rPr>
        <w:t xml:space="preserve">Table 2. Effect of graded levels of sulphur on seed yield of sesamum varieties </w:t>
      </w:r>
    </w:p>
    <w:p w:rsidR="00B43706" w:rsidRPr="00B43706" w:rsidRDefault="00B43706" w:rsidP="00B43706">
      <w:pPr>
        <w:spacing w:after="0"/>
        <w:rPr>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1081"/>
        <w:gridCol w:w="1148"/>
        <w:gridCol w:w="1033"/>
        <w:gridCol w:w="1080"/>
        <w:gridCol w:w="1148"/>
        <w:gridCol w:w="1035"/>
      </w:tblGrid>
      <w:tr w:rsidR="00B43706" w:rsidRPr="00B43706" w:rsidTr="00125504">
        <w:trPr>
          <w:trHeight w:val="393"/>
        </w:trPr>
        <w:tc>
          <w:tcPr>
            <w:tcW w:w="5000" w:type="pct"/>
            <w:gridSpan w:val="7"/>
            <w:shd w:val="clear" w:color="auto" w:fill="auto"/>
            <w:noWrap/>
            <w:vAlign w:val="center"/>
            <w:hideMark/>
          </w:tcPr>
          <w:p w:rsidR="00B43706" w:rsidRPr="00B43706" w:rsidRDefault="00B43706" w:rsidP="00125504">
            <w:pPr>
              <w:spacing w:after="0"/>
              <w:jc w:val="center"/>
              <w:rPr>
                <w:rFonts w:eastAsia="Times New Roman"/>
                <w:b/>
                <w:color w:val="000000"/>
                <w:szCs w:val="20"/>
                <w:vertAlign w:val="superscript"/>
              </w:rPr>
            </w:pPr>
            <w:r w:rsidRPr="00B43706">
              <w:rPr>
                <w:rFonts w:eastAsia="Times New Roman"/>
                <w:b/>
                <w:color w:val="000000"/>
                <w:szCs w:val="20"/>
              </w:rPr>
              <w:t>Seed yield (kgha</w:t>
            </w:r>
            <w:r w:rsidRPr="00B43706">
              <w:rPr>
                <w:rFonts w:eastAsia="Times New Roman"/>
                <w:b/>
                <w:color w:val="000000"/>
                <w:szCs w:val="20"/>
                <w:vertAlign w:val="superscript"/>
              </w:rPr>
              <w:t>-1</w:t>
            </w:r>
            <w:r w:rsidRPr="00B43706">
              <w:rPr>
                <w:rFonts w:eastAsia="Times New Roman"/>
                <w:b/>
                <w:color w:val="000000"/>
                <w:szCs w:val="20"/>
              </w:rPr>
              <w:t>)</w:t>
            </w:r>
          </w:p>
        </w:tc>
      </w:tr>
      <w:tr w:rsidR="00B43706" w:rsidRPr="00B43706" w:rsidTr="00125504">
        <w:trPr>
          <w:trHeight w:val="393"/>
        </w:trPr>
        <w:tc>
          <w:tcPr>
            <w:tcW w:w="3235" w:type="pct"/>
            <w:gridSpan w:val="4"/>
            <w:shd w:val="clear" w:color="auto" w:fill="auto"/>
            <w:noWrap/>
            <w:vAlign w:val="center"/>
            <w:hideMark/>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Sulphur sufficient soil</w:t>
            </w:r>
          </w:p>
        </w:tc>
        <w:tc>
          <w:tcPr>
            <w:tcW w:w="1765" w:type="pct"/>
            <w:gridSpan w:val="3"/>
            <w:shd w:val="clear" w:color="auto" w:fill="auto"/>
            <w:noWrap/>
            <w:vAlign w:val="center"/>
            <w:hideMark/>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Sulphur deficient soil</w:t>
            </w:r>
          </w:p>
        </w:tc>
      </w:tr>
      <w:tr w:rsidR="00B43706" w:rsidRPr="00B43706" w:rsidTr="00125504">
        <w:trPr>
          <w:trHeight w:val="393"/>
        </w:trPr>
        <w:tc>
          <w:tcPr>
            <w:tcW w:w="1470" w:type="pct"/>
            <w:shd w:val="clear" w:color="auto" w:fill="auto"/>
            <w:noWrap/>
            <w:vAlign w:val="center"/>
            <w:hideMark/>
          </w:tcPr>
          <w:p w:rsidR="00B43706" w:rsidRPr="00B43706" w:rsidRDefault="00B43706" w:rsidP="00125504">
            <w:pPr>
              <w:spacing w:after="0"/>
              <w:rPr>
                <w:rFonts w:eastAsia="Times New Roman"/>
                <w:b/>
                <w:color w:val="000000"/>
                <w:szCs w:val="20"/>
              </w:rPr>
            </w:pPr>
            <w:r w:rsidRPr="00B43706">
              <w:rPr>
                <w:rFonts w:eastAsia="Times New Roman"/>
                <w:b/>
                <w:color w:val="000000"/>
                <w:szCs w:val="20"/>
              </w:rPr>
              <w:t>Treatments</w:t>
            </w:r>
          </w:p>
        </w:tc>
        <w:tc>
          <w:tcPr>
            <w:tcW w:w="585" w:type="pct"/>
            <w:shd w:val="clear" w:color="auto" w:fill="auto"/>
            <w:noWrap/>
            <w:vAlign w:val="center"/>
            <w:hideMark/>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TMV 7</w:t>
            </w:r>
          </w:p>
        </w:tc>
        <w:tc>
          <w:tcPr>
            <w:tcW w:w="621" w:type="pct"/>
            <w:shd w:val="clear" w:color="auto" w:fill="auto"/>
            <w:noWrap/>
            <w:vAlign w:val="center"/>
            <w:hideMark/>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SVPR 1</w:t>
            </w:r>
          </w:p>
        </w:tc>
        <w:tc>
          <w:tcPr>
            <w:tcW w:w="559" w:type="pct"/>
            <w:shd w:val="clear" w:color="auto" w:fill="auto"/>
            <w:noWrap/>
            <w:vAlign w:val="center"/>
            <w:hideMark/>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Mean</w:t>
            </w:r>
          </w:p>
        </w:tc>
        <w:tc>
          <w:tcPr>
            <w:tcW w:w="584" w:type="pct"/>
            <w:shd w:val="clear" w:color="auto" w:fill="auto"/>
            <w:noWrap/>
            <w:vAlign w:val="center"/>
            <w:hideMark/>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TMV 7</w:t>
            </w:r>
          </w:p>
        </w:tc>
        <w:tc>
          <w:tcPr>
            <w:tcW w:w="621" w:type="pct"/>
            <w:shd w:val="clear" w:color="auto" w:fill="auto"/>
            <w:noWrap/>
            <w:vAlign w:val="center"/>
            <w:hideMark/>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SVPR 1</w:t>
            </w:r>
          </w:p>
        </w:tc>
        <w:tc>
          <w:tcPr>
            <w:tcW w:w="560" w:type="pct"/>
            <w:shd w:val="clear" w:color="auto" w:fill="auto"/>
            <w:noWrap/>
            <w:vAlign w:val="center"/>
            <w:hideMark/>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Mean</w:t>
            </w:r>
          </w:p>
        </w:tc>
      </w:tr>
      <w:tr w:rsidR="00B43706" w:rsidRPr="00B43706" w:rsidTr="00125504">
        <w:trPr>
          <w:trHeight w:val="432"/>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rPr>
            </w:pPr>
            <w:r w:rsidRPr="00B43706">
              <w:rPr>
                <w:rFonts w:eastAsia="Times New Roman"/>
                <w:color w:val="000000"/>
                <w:szCs w:val="20"/>
              </w:rPr>
              <w:t>Absolute Control</w:t>
            </w:r>
          </w:p>
        </w:tc>
        <w:tc>
          <w:tcPr>
            <w:tcW w:w="585" w:type="pct"/>
            <w:shd w:val="clear" w:color="auto" w:fill="auto"/>
            <w:noWrap/>
          </w:tcPr>
          <w:p w:rsidR="00B43706" w:rsidRPr="00B43706" w:rsidRDefault="00B43706" w:rsidP="00125504">
            <w:pPr>
              <w:jc w:val="center"/>
              <w:rPr>
                <w:szCs w:val="20"/>
              </w:rPr>
            </w:pPr>
            <w:r w:rsidRPr="00B43706">
              <w:rPr>
                <w:szCs w:val="20"/>
              </w:rPr>
              <w:t>652</w:t>
            </w:r>
          </w:p>
        </w:tc>
        <w:tc>
          <w:tcPr>
            <w:tcW w:w="621" w:type="pct"/>
            <w:shd w:val="clear" w:color="auto" w:fill="auto"/>
            <w:noWrap/>
          </w:tcPr>
          <w:p w:rsidR="00B43706" w:rsidRPr="00B43706" w:rsidRDefault="00B43706" w:rsidP="00125504">
            <w:pPr>
              <w:jc w:val="center"/>
              <w:rPr>
                <w:szCs w:val="20"/>
              </w:rPr>
            </w:pPr>
            <w:r w:rsidRPr="00B43706">
              <w:rPr>
                <w:szCs w:val="20"/>
              </w:rPr>
              <w:t>573</w:t>
            </w:r>
          </w:p>
        </w:tc>
        <w:tc>
          <w:tcPr>
            <w:tcW w:w="559" w:type="pct"/>
            <w:shd w:val="clear" w:color="auto" w:fill="auto"/>
            <w:noWrap/>
          </w:tcPr>
          <w:p w:rsidR="00B43706" w:rsidRPr="00B43706" w:rsidRDefault="00B43706" w:rsidP="00125504">
            <w:pPr>
              <w:jc w:val="center"/>
              <w:rPr>
                <w:szCs w:val="20"/>
              </w:rPr>
            </w:pPr>
            <w:r w:rsidRPr="00B43706">
              <w:rPr>
                <w:szCs w:val="20"/>
              </w:rPr>
              <w:t>613</w:t>
            </w:r>
          </w:p>
        </w:tc>
        <w:tc>
          <w:tcPr>
            <w:tcW w:w="584" w:type="pct"/>
            <w:shd w:val="clear" w:color="auto" w:fill="auto"/>
            <w:noWrap/>
          </w:tcPr>
          <w:p w:rsidR="00B43706" w:rsidRPr="00B43706" w:rsidRDefault="00B43706" w:rsidP="00125504">
            <w:pPr>
              <w:jc w:val="center"/>
              <w:rPr>
                <w:szCs w:val="20"/>
              </w:rPr>
            </w:pPr>
            <w:r w:rsidRPr="00B43706">
              <w:rPr>
                <w:szCs w:val="20"/>
              </w:rPr>
              <w:t>651</w:t>
            </w:r>
          </w:p>
        </w:tc>
        <w:tc>
          <w:tcPr>
            <w:tcW w:w="621" w:type="pct"/>
            <w:shd w:val="clear" w:color="auto" w:fill="auto"/>
            <w:noWrap/>
          </w:tcPr>
          <w:p w:rsidR="00B43706" w:rsidRPr="00B43706" w:rsidRDefault="00B43706" w:rsidP="00125504">
            <w:pPr>
              <w:jc w:val="center"/>
              <w:rPr>
                <w:szCs w:val="20"/>
              </w:rPr>
            </w:pPr>
            <w:r w:rsidRPr="00B43706">
              <w:rPr>
                <w:szCs w:val="20"/>
              </w:rPr>
              <w:t>550</w:t>
            </w:r>
          </w:p>
        </w:tc>
        <w:tc>
          <w:tcPr>
            <w:tcW w:w="560" w:type="pct"/>
            <w:shd w:val="clear" w:color="auto" w:fill="auto"/>
            <w:noWrap/>
          </w:tcPr>
          <w:p w:rsidR="00B43706" w:rsidRPr="00B43706" w:rsidRDefault="00B43706" w:rsidP="00125504">
            <w:pPr>
              <w:jc w:val="center"/>
              <w:rPr>
                <w:szCs w:val="20"/>
              </w:rPr>
            </w:pPr>
            <w:r w:rsidRPr="00B43706">
              <w:rPr>
                <w:szCs w:val="20"/>
              </w:rPr>
              <w:t>601</w:t>
            </w:r>
          </w:p>
        </w:tc>
      </w:tr>
      <w:tr w:rsidR="00B43706" w:rsidRPr="00B43706" w:rsidTr="00125504">
        <w:trPr>
          <w:trHeight w:val="432"/>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rPr>
            </w:pPr>
            <w:r w:rsidRPr="00B43706">
              <w:rPr>
                <w:rFonts w:eastAsia="Times New Roman"/>
                <w:color w:val="000000"/>
                <w:szCs w:val="20"/>
              </w:rPr>
              <w:t>RDF alone</w:t>
            </w:r>
          </w:p>
        </w:tc>
        <w:tc>
          <w:tcPr>
            <w:tcW w:w="585" w:type="pct"/>
            <w:shd w:val="clear" w:color="auto" w:fill="auto"/>
            <w:noWrap/>
          </w:tcPr>
          <w:p w:rsidR="00B43706" w:rsidRPr="00B43706" w:rsidRDefault="00B43706" w:rsidP="00125504">
            <w:pPr>
              <w:jc w:val="center"/>
              <w:rPr>
                <w:szCs w:val="20"/>
              </w:rPr>
            </w:pPr>
            <w:r w:rsidRPr="00B43706">
              <w:rPr>
                <w:szCs w:val="20"/>
              </w:rPr>
              <w:t>723</w:t>
            </w:r>
          </w:p>
        </w:tc>
        <w:tc>
          <w:tcPr>
            <w:tcW w:w="621" w:type="pct"/>
            <w:shd w:val="clear" w:color="auto" w:fill="auto"/>
            <w:noWrap/>
          </w:tcPr>
          <w:p w:rsidR="00B43706" w:rsidRPr="00B43706" w:rsidRDefault="00B43706" w:rsidP="00125504">
            <w:pPr>
              <w:jc w:val="center"/>
              <w:rPr>
                <w:szCs w:val="20"/>
              </w:rPr>
            </w:pPr>
            <w:r w:rsidRPr="00B43706">
              <w:rPr>
                <w:szCs w:val="20"/>
              </w:rPr>
              <w:t>624</w:t>
            </w:r>
          </w:p>
        </w:tc>
        <w:tc>
          <w:tcPr>
            <w:tcW w:w="559" w:type="pct"/>
            <w:shd w:val="clear" w:color="auto" w:fill="auto"/>
            <w:noWrap/>
          </w:tcPr>
          <w:p w:rsidR="00B43706" w:rsidRPr="00B43706" w:rsidRDefault="00B43706" w:rsidP="00125504">
            <w:pPr>
              <w:jc w:val="center"/>
              <w:rPr>
                <w:szCs w:val="20"/>
              </w:rPr>
            </w:pPr>
            <w:r w:rsidRPr="00B43706">
              <w:rPr>
                <w:szCs w:val="20"/>
              </w:rPr>
              <w:t>674</w:t>
            </w:r>
          </w:p>
        </w:tc>
        <w:tc>
          <w:tcPr>
            <w:tcW w:w="584" w:type="pct"/>
            <w:shd w:val="clear" w:color="auto" w:fill="auto"/>
            <w:noWrap/>
          </w:tcPr>
          <w:p w:rsidR="00B43706" w:rsidRPr="00B43706" w:rsidRDefault="00B43706" w:rsidP="00125504">
            <w:pPr>
              <w:jc w:val="center"/>
              <w:rPr>
                <w:szCs w:val="20"/>
              </w:rPr>
            </w:pPr>
            <w:r w:rsidRPr="00B43706">
              <w:rPr>
                <w:szCs w:val="20"/>
              </w:rPr>
              <w:t>713</w:t>
            </w:r>
          </w:p>
        </w:tc>
        <w:tc>
          <w:tcPr>
            <w:tcW w:w="621" w:type="pct"/>
            <w:shd w:val="clear" w:color="auto" w:fill="auto"/>
            <w:noWrap/>
          </w:tcPr>
          <w:p w:rsidR="00B43706" w:rsidRPr="00B43706" w:rsidRDefault="00B43706" w:rsidP="00125504">
            <w:pPr>
              <w:jc w:val="center"/>
              <w:rPr>
                <w:szCs w:val="20"/>
              </w:rPr>
            </w:pPr>
            <w:r w:rsidRPr="00B43706">
              <w:rPr>
                <w:szCs w:val="20"/>
              </w:rPr>
              <w:t>601</w:t>
            </w:r>
          </w:p>
        </w:tc>
        <w:tc>
          <w:tcPr>
            <w:tcW w:w="560" w:type="pct"/>
            <w:shd w:val="clear" w:color="auto" w:fill="auto"/>
            <w:noWrap/>
          </w:tcPr>
          <w:p w:rsidR="00B43706" w:rsidRPr="00B43706" w:rsidRDefault="00B43706" w:rsidP="00125504">
            <w:pPr>
              <w:jc w:val="center"/>
              <w:rPr>
                <w:szCs w:val="20"/>
              </w:rPr>
            </w:pPr>
            <w:r w:rsidRPr="00B43706">
              <w:rPr>
                <w:szCs w:val="20"/>
              </w:rPr>
              <w:t>657</w:t>
            </w:r>
          </w:p>
        </w:tc>
      </w:tr>
      <w:tr w:rsidR="00B43706" w:rsidRPr="00B43706" w:rsidTr="00125504">
        <w:trPr>
          <w:trHeight w:val="432"/>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rPr>
            </w:pPr>
            <w:r w:rsidRPr="00B43706">
              <w:rPr>
                <w:rFonts w:eastAsia="Times New Roman"/>
                <w:color w:val="000000"/>
                <w:szCs w:val="20"/>
              </w:rPr>
              <w:t xml:space="preserve">RDF+ S </w:t>
            </w:r>
            <w:r w:rsidRPr="00B43706">
              <w:rPr>
                <w:rFonts w:eastAsia="Times New Roman"/>
                <w:color w:val="000000"/>
                <w:szCs w:val="20"/>
                <w:vertAlign w:val="subscript"/>
              </w:rPr>
              <w:t>20</w:t>
            </w:r>
            <w:r w:rsidRPr="00B43706">
              <w:rPr>
                <w:rFonts w:eastAsia="Times New Roman"/>
                <w:color w:val="000000"/>
                <w:szCs w:val="20"/>
              </w:rPr>
              <w:t xml:space="preserve"> kgha</w:t>
            </w:r>
            <w:r w:rsidRPr="00B43706">
              <w:rPr>
                <w:rFonts w:eastAsia="Times New Roman"/>
                <w:color w:val="000000"/>
                <w:szCs w:val="20"/>
                <w:vertAlign w:val="superscript"/>
              </w:rPr>
              <w:t>-1</w:t>
            </w:r>
          </w:p>
        </w:tc>
        <w:tc>
          <w:tcPr>
            <w:tcW w:w="585" w:type="pct"/>
            <w:shd w:val="clear" w:color="auto" w:fill="auto"/>
            <w:noWrap/>
          </w:tcPr>
          <w:p w:rsidR="00B43706" w:rsidRPr="00B43706" w:rsidRDefault="00B43706" w:rsidP="00125504">
            <w:pPr>
              <w:jc w:val="center"/>
              <w:rPr>
                <w:szCs w:val="20"/>
              </w:rPr>
            </w:pPr>
            <w:r w:rsidRPr="00B43706">
              <w:rPr>
                <w:szCs w:val="20"/>
              </w:rPr>
              <w:t>775</w:t>
            </w:r>
          </w:p>
        </w:tc>
        <w:tc>
          <w:tcPr>
            <w:tcW w:w="621" w:type="pct"/>
            <w:shd w:val="clear" w:color="auto" w:fill="auto"/>
            <w:noWrap/>
          </w:tcPr>
          <w:p w:rsidR="00B43706" w:rsidRPr="00B43706" w:rsidRDefault="00B43706" w:rsidP="00125504">
            <w:pPr>
              <w:jc w:val="center"/>
              <w:rPr>
                <w:szCs w:val="20"/>
              </w:rPr>
            </w:pPr>
            <w:r w:rsidRPr="00B43706">
              <w:rPr>
                <w:szCs w:val="20"/>
              </w:rPr>
              <w:t>682</w:t>
            </w:r>
          </w:p>
        </w:tc>
        <w:tc>
          <w:tcPr>
            <w:tcW w:w="559" w:type="pct"/>
            <w:shd w:val="clear" w:color="auto" w:fill="auto"/>
            <w:noWrap/>
          </w:tcPr>
          <w:p w:rsidR="00B43706" w:rsidRPr="00B43706" w:rsidRDefault="00B43706" w:rsidP="00125504">
            <w:pPr>
              <w:jc w:val="center"/>
              <w:rPr>
                <w:szCs w:val="20"/>
              </w:rPr>
            </w:pPr>
            <w:r w:rsidRPr="00B43706">
              <w:rPr>
                <w:szCs w:val="20"/>
              </w:rPr>
              <w:t>729</w:t>
            </w:r>
          </w:p>
        </w:tc>
        <w:tc>
          <w:tcPr>
            <w:tcW w:w="584" w:type="pct"/>
            <w:shd w:val="clear" w:color="auto" w:fill="auto"/>
            <w:noWrap/>
          </w:tcPr>
          <w:p w:rsidR="00B43706" w:rsidRPr="00B43706" w:rsidRDefault="00B43706" w:rsidP="00125504">
            <w:pPr>
              <w:jc w:val="center"/>
              <w:rPr>
                <w:szCs w:val="20"/>
              </w:rPr>
            </w:pPr>
            <w:r w:rsidRPr="00B43706">
              <w:rPr>
                <w:szCs w:val="20"/>
              </w:rPr>
              <w:t>750</w:t>
            </w:r>
          </w:p>
        </w:tc>
        <w:tc>
          <w:tcPr>
            <w:tcW w:w="621" w:type="pct"/>
            <w:shd w:val="clear" w:color="auto" w:fill="auto"/>
            <w:noWrap/>
          </w:tcPr>
          <w:p w:rsidR="00B43706" w:rsidRPr="00B43706" w:rsidRDefault="00B43706" w:rsidP="00125504">
            <w:pPr>
              <w:jc w:val="center"/>
              <w:rPr>
                <w:szCs w:val="20"/>
              </w:rPr>
            </w:pPr>
            <w:r w:rsidRPr="00B43706">
              <w:rPr>
                <w:szCs w:val="20"/>
              </w:rPr>
              <w:t>663</w:t>
            </w:r>
          </w:p>
        </w:tc>
        <w:tc>
          <w:tcPr>
            <w:tcW w:w="560" w:type="pct"/>
            <w:shd w:val="clear" w:color="auto" w:fill="auto"/>
            <w:noWrap/>
          </w:tcPr>
          <w:p w:rsidR="00B43706" w:rsidRPr="00B43706" w:rsidRDefault="00B43706" w:rsidP="00125504">
            <w:pPr>
              <w:jc w:val="center"/>
              <w:rPr>
                <w:szCs w:val="20"/>
              </w:rPr>
            </w:pPr>
            <w:r w:rsidRPr="00B43706">
              <w:rPr>
                <w:szCs w:val="20"/>
              </w:rPr>
              <w:t>707</w:t>
            </w:r>
          </w:p>
        </w:tc>
      </w:tr>
      <w:tr w:rsidR="00B43706" w:rsidRPr="00B43706" w:rsidTr="00125504">
        <w:trPr>
          <w:trHeight w:val="432"/>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rPr>
            </w:pPr>
            <w:r w:rsidRPr="00B43706">
              <w:rPr>
                <w:rFonts w:eastAsia="Times New Roman"/>
                <w:color w:val="000000"/>
                <w:szCs w:val="20"/>
              </w:rPr>
              <w:t xml:space="preserve">RDF+ S </w:t>
            </w:r>
            <w:r w:rsidRPr="00B43706">
              <w:rPr>
                <w:rFonts w:eastAsia="Times New Roman"/>
                <w:color w:val="000000"/>
                <w:szCs w:val="20"/>
                <w:vertAlign w:val="subscript"/>
              </w:rPr>
              <w:t>30</w:t>
            </w:r>
            <w:r w:rsidRPr="00B43706">
              <w:rPr>
                <w:rFonts w:eastAsia="Times New Roman"/>
                <w:color w:val="000000"/>
                <w:szCs w:val="20"/>
              </w:rPr>
              <w:t xml:space="preserve"> kgha</w:t>
            </w:r>
            <w:r w:rsidRPr="00B43706">
              <w:rPr>
                <w:rFonts w:eastAsia="Times New Roman"/>
                <w:color w:val="000000"/>
                <w:szCs w:val="20"/>
                <w:vertAlign w:val="superscript"/>
              </w:rPr>
              <w:t>-1</w:t>
            </w:r>
          </w:p>
        </w:tc>
        <w:tc>
          <w:tcPr>
            <w:tcW w:w="585" w:type="pct"/>
            <w:shd w:val="clear" w:color="auto" w:fill="auto"/>
            <w:noWrap/>
          </w:tcPr>
          <w:p w:rsidR="00B43706" w:rsidRPr="00B43706" w:rsidRDefault="00B43706" w:rsidP="00125504">
            <w:pPr>
              <w:jc w:val="center"/>
              <w:rPr>
                <w:szCs w:val="20"/>
              </w:rPr>
            </w:pPr>
            <w:r w:rsidRPr="00B43706">
              <w:rPr>
                <w:szCs w:val="20"/>
              </w:rPr>
              <w:t>828</w:t>
            </w:r>
          </w:p>
        </w:tc>
        <w:tc>
          <w:tcPr>
            <w:tcW w:w="621" w:type="pct"/>
            <w:shd w:val="clear" w:color="auto" w:fill="auto"/>
            <w:noWrap/>
          </w:tcPr>
          <w:p w:rsidR="00B43706" w:rsidRPr="00B43706" w:rsidRDefault="00B43706" w:rsidP="00125504">
            <w:pPr>
              <w:jc w:val="center"/>
              <w:rPr>
                <w:szCs w:val="20"/>
              </w:rPr>
            </w:pPr>
            <w:r w:rsidRPr="00B43706">
              <w:rPr>
                <w:szCs w:val="20"/>
              </w:rPr>
              <w:t>729</w:t>
            </w:r>
          </w:p>
        </w:tc>
        <w:tc>
          <w:tcPr>
            <w:tcW w:w="559" w:type="pct"/>
            <w:shd w:val="clear" w:color="auto" w:fill="auto"/>
            <w:noWrap/>
          </w:tcPr>
          <w:p w:rsidR="00B43706" w:rsidRPr="00B43706" w:rsidRDefault="00B43706" w:rsidP="00125504">
            <w:pPr>
              <w:jc w:val="center"/>
              <w:rPr>
                <w:szCs w:val="20"/>
              </w:rPr>
            </w:pPr>
            <w:r w:rsidRPr="00B43706">
              <w:rPr>
                <w:szCs w:val="20"/>
              </w:rPr>
              <w:t>779</w:t>
            </w:r>
          </w:p>
        </w:tc>
        <w:tc>
          <w:tcPr>
            <w:tcW w:w="584" w:type="pct"/>
            <w:shd w:val="clear" w:color="auto" w:fill="auto"/>
            <w:noWrap/>
          </w:tcPr>
          <w:p w:rsidR="00B43706" w:rsidRPr="00B43706" w:rsidRDefault="00B43706" w:rsidP="00125504">
            <w:pPr>
              <w:jc w:val="center"/>
              <w:rPr>
                <w:szCs w:val="20"/>
              </w:rPr>
            </w:pPr>
            <w:r w:rsidRPr="00B43706">
              <w:rPr>
                <w:szCs w:val="20"/>
              </w:rPr>
              <w:t>791</w:t>
            </w:r>
          </w:p>
        </w:tc>
        <w:tc>
          <w:tcPr>
            <w:tcW w:w="621" w:type="pct"/>
            <w:shd w:val="clear" w:color="auto" w:fill="auto"/>
            <w:noWrap/>
          </w:tcPr>
          <w:p w:rsidR="00B43706" w:rsidRPr="00B43706" w:rsidRDefault="00B43706" w:rsidP="00125504">
            <w:pPr>
              <w:jc w:val="center"/>
              <w:rPr>
                <w:szCs w:val="20"/>
              </w:rPr>
            </w:pPr>
            <w:r w:rsidRPr="00B43706">
              <w:rPr>
                <w:szCs w:val="20"/>
              </w:rPr>
              <w:t>704</w:t>
            </w:r>
          </w:p>
        </w:tc>
        <w:tc>
          <w:tcPr>
            <w:tcW w:w="560" w:type="pct"/>
            <w:shd w:val="clear" w:color="auto" w:fill="auto"/>
            <w:noWrap/>
          </w:tcPr>
          <w:p w:rsidR="00B43706" w:rsidRPr="00B43706" w:rsidRDefault="00B43706" w:rsidP="00125504">
            <w:pPr>
              <w:jc w:val="center"/>
              <w:rPr>
                <w:szCs w:val="20"/>
              </w:rPr>
            </w:pPr>
            <w:r w:rsidRPr="00B43706">
              <w:rPr>
                <w:szCs w:val="20"/>
              </w:rPr>
              <w:t>748</w:t>
            </w:r>
          </w:p>
        </w:tc>
      </w:tr>
      <w:tr w:rsidR="00B43706" w:rsidRPr="00B43706" w:rsidTr="00125504">
        <w:trPr>
          <w:trHeight w:val="432"/>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rPr>
            </w:pPr>
            <w:r w:rsidRPr="00B43706">
              <w:rPr>
                <w:rFonts w:eastAsia="Times New Roman"/>
                <w:color w:val="000000"/>
                <w:szCs w:val="20"/>
              </w:rPr>
              <w:t xml:space="preserve">RDF+ S </w:t>
            </w:r>
            <w:r w:rsidRPr="00B43706">
              <w:rPr>
                <w:rFonts w:eastAsia="Times New Roman"/>
                <w:color w:val="000000"/>
                <w:szCs w:val="20"/>
                <w:vertAlign w:val="subscript"/>
              </w:rPr>
              <w:t>40</w:t>
            </w:r>
            <w:r w:rsidRPr="00B43706">
              <w:rPr>
                <w:rFonts w:eastAsia="Times New Roman"/>
                <w:color w:val="000000"/>
                <w:szCs w:val="20"/>
              </w:rPr>
              <w:t xml:space="preserve"> kgha</w:t>
            </w:r>
            <w:r w:rsidRPr="00B43706">
              <w:rPr>
                <w:rFonts w:eastAsia="Times New Roman"/>
                <w:color w:val="000000"/>
                <w:szCs w:val="20"/>
                <w:vertAlign w:val="superscript"/>
              </w:rPr>
              <w:t>-1</w:t>
            </w:r>
          </w:p>
        </w:tc>
        <w:tc>
          <w:tcPr>
            <w:tcW w:w="585" w:type="pct"/>
            <w:shd w:val="clear" w:color="auto" w:fill="auto"/>
            <w:noWrap/>
          </w:tcPr>
          <w:p w:rsidR="00B43706" w:rsidRPr="00B43706" w:rsidRDefault="00B43706" w:rsidP="00125504">
            <w:pPr>
              <w:jc w:val="center"/>
              <w:rPr>
                <w:szCs w:val="20"/>
              </w:rPr>
            </w:pPr>
            <w:r w:rsidRPr="00B43706">
              <w:rPr>
                <w:szCs w:val="20"/>
              </w:rPr>
              <w:t>849</w:t>
            </w:r>
          </w:p>
        </w:tc>
        <w:tc>
          <w:tcPr>
            <w:tcW w:w="621" w:type="pct"/>
            <w:shd w:val="clear" w:color="auto" w:fill="auto"/>
            <w:noWrap/>
          </w:tcPr>
          <w:p w:rsidR="00B43706" w:rsidRPr="00B43706" w:rsidRDefault="00B43706" w:rsidP="00125504">
            <w:pPr>
              <w:jc w:val="center"/>
              <w:rPr>
                <w:szCs w:val="20"/>
              </w:rPr>
            </w:pPr>
            <w:r w:rsidRPr="00B43706">
              <w:rPr>
                <w:szCs w:val="20"/>
              </w:rPr>
              <w:t>747</w:t>
            </w:r>
          </w:p>
        </w:tc>
        <w:tc>
          <w:tcPr>
            <w:tcW w:w="559" w:type="pct"/>
            <w:shd w:val="clear" w:color="auto" w:fill="auto"/>
            <w:noWrap/>
          </w:tcPr>
          <w:p w:rsidR="00B43706" w:rsidRPr="00B43706" w:rsidRDefault="00B43706" w:rsidP="00125504">
            <w:pPr>
              <w:jc w:val="center"/>
              <w:rPr>
                <w:szCs w:val="20"/>
              </w:rPr>
            </w:pPr>
            <w:r w:rsidRPr="00B43706">
              <w:rPr>
                <w:szCs w:val="20"/>
              </w:rPr>
              <w:t>798</w:t>
            </w:r>
          </w:p>
        </w:tc>
        <w:tc>
          <w:tcPr>
            <w:tcW w:w="584" w:type="pct"/>
            <w:shd w:val="clear" w:color="auto" w:fill="auto"/>
            <w:noWrap/>
          </w:tcPr>
          <w:p w:rsidR="00B43706" w:rsidRPr="00B43706" w:rsidRDefault="00B43706" w:rsidP="00125504">
            <w:pPr>
              <w:jc w:val="center"/>
              <w:rPr>
                <w:szCs w:val="20"/>
              </w:rPr>
            </w:pPr>
            <w:r w:rsidRPr="00B43706">
              <w:rPr>
                <w:szCs w:val="20"/>
              </w:rPr>
              <w:t>835</w:t>
            </w:r>
          </w:p>
        </w:tc>
        <w:tc>
          <w:tcPr>
            <w:tcW w:w="621" w:type="pct"/>
            <w:shd w:val="clear" w:color="auto" w:fill="auto"/>
            <w:noWrap/>
          </w:tcPr>
          <w:p w:rsidR="00B43706" w:rsidRPr="00B43706" w:rsidRDefault="00B43706" w:rsidP="00125504">
            <w:pPr>
              <w:jc w:val="center"/>
              <w:rPr>
                <w:szCs w:val="20"/>
              </w:rPr>
            </w:pPr>
            <w:r w:rsidRPr="00B43706">
              <w:rPr>
                <w:szCs w:val="20"/>
              </w:rPr>
              <w:t>741</w:t>
            </w:r>
          </w:p>
        </w:tc>
        <w:tc>
          <w:tcPr>
            <w:tcW w:w="560" w:type="pct"/>
            <w:shd w:val="clear" w:color="auto" w:fill="auto"/>
            <w:noWrap/>
          </w:tcPr>
          <w:p w:rsidR="00B43706" w:rsidRPr="00B43706" w:rsidRDefault="00B43706" w:rsidP="00125504">
            <w:pPr>
              <w:jc w:val="center"/>
              <w:rPr>
                <w:szCs w:val="20"/>
              </w:rPr>
            </w:pPr>
            <w:r w:rsidRPr="00B43706">
              <w:rPr>
                <w:szCs w:val="20"/>
              </w:rPr>
              <w:t>788</w:t>
            </w:r>
          </w:p>
        </w:tc>
      </w:tr>
      <w:tr w:rsidR="00B43706" w:rsidRPr="00B43706" w:rsidTr="00125504">
        <w:trPr>
          <w:trHeight w:val="432"/>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rPr>
            </w:pPr>
            <w:r w:rsidRPr="00B43706">
              <w:rPr>
                <w:rFonts w:eastAsia="Times New Roman"/>
                <w:color w:val="000000"/>
                <w:szCs w:val="20"/>
              </w:rPr>
              <w:t xml:space="preserve">RDF+ S </w:t>
            </w:r>
            <w:r w:rsidRPr="00B43706">
              <w:rPr>
                <w:rFonts w:eastAsia="Times New Roman"/>
                <w:color w:val="000000"/>
                <w:szCs w:val="20"/>
                <w:vertAlign w:val="subscript"/>
              </w:rPr>
              <w:t>50</w:t>
            </w:r>
            <w:r w:rsidRPr="00B43706">
              <w:rPr>
                <w:rFonts w:eastAsia="Times New Roman"/>
                <w:color w:val="000000"/>
                <w:szCs w:val="20"/>
              </w:rPr>
              <w:t xml:space="preserve"> kgha</w:t>
            </w:r>
            <w:r w:rsidRPr="00B43706">
              <w:rPr>
                <w:rFonts w:eastAsia="Times New Roman"/>
                <w:color w:val="000000"/>
                <w:szCs w:val="20"/>
                <w:vertAlign w:val="superscript"/>
              </w:rPr>
              <w:t>-1</w:t>
            </w:r>
          </w:p>
        </w:tc>
        <w:tc>
          <w:tcPr>
            <w:tcW w:w="585" w:type="pct"/>
            <w:shd w:val="clear" w:color="auto" w:fill="auto"/>
            <w:noWrap/>
          </w:tcPr>
          <w:p w:rsidR="00B43706" w:rsidRPr="00B43706" w:rsidRDefault="00B43706" w:rsidP="00125504">
            <w:pPr>
              <w:jc w:val="center"/>
              <w:rPr>
                <w:szCs w:val="20"/>
              </w:rPr>
            </w:pPr>
            <w:r w:rsidRPr="00B43706">
              <w:rPr>
                <w:szCs w:val="20"/>
              </w:rPr>
              <w:t>871</w:t>
            </w:r>
          </w:p>
        </w:tc>
        <w:tc>
          <w:tcPr>
            <w:tcW w:w="621" w:type="pct"/>
            <w:shd w:val="clear" w:color="auto" w:fill="auto"/>
            <w:noWrap/>
          </w:tcPr>
          <w:p w:rsidR="00B43706" w:rsidRPr="00B43706" w:rsidRDefault="00B43706" w:rsidP="00125504">
            <w:pPr>
              <w:jc w:val="center"/>
              <w:rPr>
                <w:szCs w:val="20"/>
              </w:rPr>
            </w:pPr>
            <w:r w:rsidRPr="00B43706">
              <w:rPr>
                <w:szCs w:val="20"/>
              </w:rPr>
              <w:t>766</w:t>
            </w:r>
          </w:p>
        </w:tc>
        <w:tc>
          <w:tcPr>
            <w:tcW w:w="559" w:type="pct"/>
            <w:shd w:val="clear" w:color="auto" w:fill="auto"/>
            <w:noWrap/>
          </w:tcPr>
          <w:p w:rsidR="00B43706" w:rsidRPr="00B43706" w:rsidRDefault="00B43706" w:rsidP="00125504">
            <w:pPr>
              <w:jc w:val="center"/>
              <w:rPr>
                <w:szCs w:val="20"/>
              </w:rPr>
            </w:pPr>
            <w:r w:rsidRPr="00B43706">
              <w:rPr>
                <w:szCs w:val="20"/>
              </w:rPr>
              <w:t>819</w:t>
            </w:r>
          </w:p>
        </w:tc>
        <w:tc>
          <w:tcPr>
            <w:tcW w:w="584" w:type="pct"/>
            <w:shd w:val="clear" w:color="auto" w:fill="auto"/>
            <w:noWrap/>
          </w:tcPr>
          <w:p w:rsidR="00B43706" w:rsidRPr="00B43706" w:rsidRDefault="00B43706" w:rsidP="00125504">
            <w:pPr>
              <w:jc w:val="center"/>
              <w:rPr>
                <w:szCs w:val="20"/>
              </w:rPr>
            </w:pPr>
            <w:r w:rsidRPr="00B43706">
              <w:rPr>
                <w:szCs w:val="20"/>
              </w:rPr>
              <w:t>885</w:t>
            </w:r>
          </w:p>
        </w:tc>
        <w:tc>
          <w:tcPr>
            <w:tcW w:w="621" w:type="pct"/>
            <w:shd w:val="clear" w:color="auto" w:fill="auto"/>
            <w:noWrap/>
          </w:tcPr>
          <w:p w:rsidR="00B43706" w:rsidRPr="00B43706" w:rsidRDefault="00B43706" w:rsidP="00125504">
            <w:pPr>
              <w:jc w:val="center"/>
              <w:rPr>
                <w:szCs w:val="20"/>
              </w:rPr>
            </w:pPr>
            <w:r w:rsidRPr="00B43706">
              <w:rPr>
                <w:szCs w:val="20"/>
              </w:rPr>
              <w:t>775</w:t>
            </w:r>
          </w:p>
        </w:tc>
        <w:tc>
          <w:tcPr>
            <w:tcW w:w="560" w:type="pct"/>
            <w:shd w:val="clear" w:color="auto" w:fill="auto"/>
            <w:noWrap/>
          </w:tcPr>
          <w:p w:rsidR="00B43706" w:rsidRPr="00B43706" w:rsidRDefault="00B43706" w:rsidP="00125504">
            <w:pPr>
              <w:jc w:val="center"/>
              <w:rPr>
                <w:szCs w:val="20"/>
              </w:rPr>
            </w:pPr>
            <w:r w:rsidRPr="00B43706">
              <w:rPr>
                <w:szCs w:val="20"/>
              </w:rPr>
              <w:t>830</w:t>
            </w:r>
          </w:p>
        </w:tc>
      </w:tr>
      <w:tr w:rsidR="00B43706" w:rsidRPr="00B43706" w:rsidTr="00125504">
        <w:trPr>
          <w:trHeight w:val="432"/>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vertAlign w:val="superscript"/>
              </w:rPr>
            </w:pPr>
            <w:r w:rsidRPr="00B43706">
              <w:rPr>
                <w:rFonts w:eastAsia="Times New Roman"/>
                <w:color w:val="000000"/>
                <w:szCs w:val="20"/>
              </w:rPr>
              <w:t xml:space="preserve">RDF+ S </w:t>
            </w:r>
            <w:r w:rsidRPr="00B43706">
              <w:rPr>
                <w:rFonts w:eastAsia="Times New Roman"/>
                <w:color w:val="000000"/>
                <w:szCs w:val="20"/>
                <w:vertAlign w:val="subscript"/>
              </w:rPr>
              <w:t>60</w:t>
            </w:r>
            <w:r w:rsidRPr="00B43706">
              <w:rPr>
                <w:rFonts w:eastAsia="Times New Roman"/>
                <w:color w:val="000000"/>
                <w:szCs w:val="20"/>
              </w:rPr>
              <w:t xml:space="preserve"> kgha</w:t>
            </w:r>
            <w:r w:rsidRPr="00B43706">
              <w:rPr>
                <w:rFonts w:eastAsia="Times New Roman"/>
                <w:color w:val="000000"/>
                <w:szCs w:val="20"/>
                <w:vertAlign w:val="superscript"/>
              </w:rPr>
              <w:t>-1</w:t>
            </w:r>
          </w:p>
        </w:tc>
        <w:tc>
          <w:tcPr>
            <w:tcW w:w="585" w:type="pct"/>
            <w:shd w:val="clear" w:color="auto" w:fill="auto"/>
            <w:noWrap/>
          </w:tcPr>
          <w:p w:rsidR="00B43706" w:rsidRPr="00B43706" w:rsidRDefault="00B43706" w:rsidP="00125504">
            <w:pPr>
              <w:jc w:val="center"/>
              <w:rPr>
                <w:szCs w:val="20"/>
              </w:rPr>
            </w:pPr>
            <w:r w:rsidRPr="00B43706">
              <w:rPr>
                <w:szCs w:val="20"/>
              </w:rPr>
              <w:t>840</w:t>
            </w:r>
          </w:p>
        </w:tc>
        <w:tc>
          <w:tcPr>
            <w:tcW w:w="621" w:type="pct"/>
            <w:shd w:val="clear" w:color="auto" w:fill="auto"/>
            <w:noWrap/>
          </w:tcPr>
          <w:p w:rsidR="00B43706" w:rsidRPr="00B43706" w:rsidRDefault="00B43706" w:rsidP="00125504">
            <w:pPr>
              <w:jc w:val="center"/>
              <w:rPr>
                <w:szCs w:val="20"/>
              </w:rPr>
            </w:pPr>
            <w:r w:rsidRPr="00B43706">
              <w:rPr>
                <w:szCs w:val="20"/>
              </w:rPr>
              <w:t>746</w:t>
            </w:r>
          </w:p>
        </w:tc>
        <w:tc>
          <w:tcPr>
            <w:tcW w:w="559" w:type="pct"/>
            <w:shd w:val="clear" w:color="auto" w:fill="auto"/>
            <w:noWrap/>
          </w:tcPr>
          <w:p w:rsidR="00B43706" w:rsidRPr="00B43706" w:rsidRDefault="00B43706" w:rsidP="00125504">
            <w:pPr>
              <w:jc w:val="center"/>
              <w:rPr>
                <w:szCs w:val="20"/>
              </w:rPr>
            </w:pPr>
            <w:r w:rsidRPr="00B43706">
              <w:rPr>
                <w:szCs w:val="20"/>
              </w:rPr>
              <w:t>793</w:t>
            </w:r>
          </w:p>
        </w:tc>
        <w:tc>
          <w:tcPr>
            <w:tcW w:w="584" w:type="pct"/>
            <w:shd w:val="clear" w:color="auto" w:fill="auto"/>
            <w:noWrap/>
          </w:tcPr>
          <w:p w:rsidR="00B43706" w:rsidRPr="00B43706" w:rsidRDefault="00B43706" w:rsidP="00125504">
            <w:pPr>
              <w:jc w:val="center"/>
              <w:rPr>
                <w:szCs w:val="20"/>
              </w:rPr>
            </w:pPr>
            <w:r w:rsidRPr="00B43706">
              <w:rPr>
                <w:szCs w:val="20"/>
              </w:rPr>
              <w:t>880</w:t>
            </w:r>
          </w:p>
        </w:tc>
        <w:tc>
          <w:tcPr>
            <w:tcW w:w="621" w:type="pct"/>
            <w:shd w:val="clear" w:color="auto" w:fill="auto"/>
            <w:noWrap/>
          </w:tcPr>
          <w:p w:rsidR="00B43706" w:rsidRPr="00B43706" w:rsidRDefault="00B43706" w:rsidP="00125504">
            <w:pPr>
              <w:jc w:val="center"/>
              <w:rPr>
                <w:szCs w:val="20"/>
              </w:rPr>
            </w:pPr>
            <w:r w:rsidRPr="00B43706">
              <w:rPr>
                <w:szCs w:val="20"/>
              </w:rPr>
              <w:t>770</w:t>
            </w:r>
          </w:p>
        </w:tc>
        <w:tc>
          <w:tcPr>
            <w:tcW w:w="560" w:type="pct"/>
            <w:shd w:val="clear" w:color="auto" w:fill="auto"/>
            <w:noWrap/>
          </w:tcPr>
          <w:p w:rsidR="00B43706" w:rsidRPr="00B43706" w:rsidRDefault="00B43706" w:rsidP="00125504">
            <w:pPr>
              <w:jc w:val="center"/>
              <w:rPr>
                <w:szCs w:val="20"/>
              </w:rPr>
            </w:pPr>
            <w:r w:rsidRPr="00B43706">
              <w:rPr>
                <w:szCs w:val="20"/>
              </w:rPr>
              <w:t>825</w:t>
            </w:r>
          </w:p>
        </w:tc>
      </w:tr>
      <w:tr w:rsidR="00B43706" w:rsidRPr="00B43706" w:rsidTr="00125504">
        <w:trPr>
          <w:trHeight w:val="432"/>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rPr>
            </w:pPr>
            <w:r w:rsidRPr="00B43706">
              <w:rPr>
                <w:rFonts w:eastAsia="Times New Roman"/>
                <w:color w:val="000000"/>
                <w:szCs w:val="20"/>
              </w:rPr>
              <w:t>Mean</w:t>
            </w:r>
          </w:p>
        </w:tc>
        <w:tc>
          <w:tcPr>
            <w:tcW w:w="585" w:type="pct"/>
            <w:shd w:val="clear" w:color="auto" w:fill="auto"/>
            <w:noWrap/>
          </w:tcPr>
          <w:p w:rsidR="00B43706" w:rsidRPr="00B43706" w:rsidRDefault="00B43706" w:rsidP="00125504">
            <w:pPr>
              <w:jc w:val="center"/>
              <w:rPr>
                <w:szCs w:val="20"/>
              </w:rPr>
            </w:pPr>
            <w:r w:rsidRPr="00B43706">
              <w:rPr>
                <w:szCs w:val="20"/>
              </w:rPr>
              <w:t>791</w:t>
            </w:r>
          </w:p>
        </w:tc>
        <w:tc>
          <w:tcPr>
            <w:tcW w:w="621" w:type="pct"/>
            <w:shd w:val="clear" w:color="auto" w:fill="auto"/>
            <w:noWrap/>
          </w:tcPr>
          <w:p w:rsidR="00B43706" w:rsidRPr="00B43706" w:rsidRDefault="00B43706" w:rsidP="00125504">
            <w:pPr>
              <w:jc w:val="center"/>
              <w:rPr>
                <w:szCs w:val="20"/>
              </w:rPr>
            </w:pPr>
            <w:r w:rsidRPr="00B43706">
              <w:rPr>
                <w:szCs w:val="20"/>
              </w:rPr>
              <w:t>695</w:t>
            </w:r>
          </w:p>
        </w:tc>
        <w:tc>
          <w:tcPr>
            <w:tcW w:w="559" w:type="pct"/>
            <w:shd w:val="clear" w:color="auto" w:fill="auto"/>
            <w:noWrap/>
          </w:tcPr>
          <w:p w:rsidR="00B43706" w:rsidRPr="00B43706" w:rsidRDefault="00B43706" w:rsidP="00125504">
            <w:pPr>
              <w:jc w:val="center"/>
              <w:rPr>
                <w:szCs w:val="20"/>
              </w:rPr>
            </w:pPr>
          </w:p>
        </w:tc>
        <w:tc>
          <w:tcPr>
            <w:tcW w:w="584" w:type="pct"/>
            <w:shd w:val="clear" w:color="auto" w:fill="auto"/>
            <w:noWrap/>
          </w:tcPr>
          <w:p w:rsidR="00B43706" w:rsidRPr="00B43706" w:rsidRDefault="00B43706" w:rsidP="00125504">
            <w:pPr>
              <w:jc w:val="center"/>
              <w:rPr>
                <w:szCs w:val="20"/>
              </w:rPr>
            </w:pPr>
            <w:r w:rsidRPr="00B43706">
              <w:rPr>
                <w:szCs w:val="20"/>
              </w:rPr>
              <w:t>786</w:t>
            </w:r>
          </w:p>
        </w:tc>
        <w:tc>
          <w:tcPr>
            <w:tcW w:w="621" w:type="pct"/>
            <w:shd w:val="clear" w:color="auto" w:fill="auto"/>
            <w:noWrap/>
          </w:tcPr>
          <w:p w:rsidR="00B43706" w:rsidRPr="00B43706" w:rsidRDefault="00B43706" w:rsidP="00125504">
            <w:pPr>
              <w:jc w:val="center"/>
              <w:rPr>
                <w:szCs w:val="20"/>
              </w:rPr>
            </w:pPr>
            <w:r w:rsidRPr="00B43706">
              <w:rPr>
                <w:szCs w:val="20"/>
              </w:rPr>
              <w:t>686</w:t>
            </w:r>
          </w:p>
        </w:tc>
        <w:tc>
          <w:tcPr>
            <w:tcW w:w="560" w:type="pct"/>
            <w:shd w:val="clear" w:color="auto" w:fill="auto"/>
            <w:noWrap/>
          </w:tcPr>
          <w:p w:rsidR="00B43706" w:rsidRPr="00B43706" w:rsidRDefault="00B43706" w:rsidP="00125504">
            <w:pPr>
              <w:jc w:val="center"/>
              <w:rPr>
                <w:szCs w:val="20"/>
              </w:rPr>
            </w:pPr>
          </w:p>
        </w:tc>
      </w:tr>
      <w:tr w:rsidR="00B43706" w:rsidRPr="00B43706" w:rsidTr="00125504">
        <w:trPr>
          <w:trHeight w:val="393"/>
        </w:trPr>
        <w:tc>
          <w:tcPr>
            <w:tcW w:w="1470" w:type="pct"/>
            <w:shd w:val="clear" w:color="auto" w:fill="auto"/>
            <w:noWrap/>
            <w:vAlign w:val="center"/>
            <w:hideMark/>
          </w:tcPr>
          <w:p w:rsidR="00B43706" w:rsidRPr="00B43706" w:rsidRDefault="00B43706" w:rsidP="00125504">
            <w:pPr>
              <w:spacing w:after="0"/>
              <w:rPr>
                <w:rFonts w:eastAsia="Times New Roman"/>
                <w:b/>
                <w:color w:val="000000"/>
                <w:szCs w:val="20"/>
              </w:rPr>
            </w:pPr>
          </w:p>
        </w:tc>
        <w:tc>
          <w:tcPr>
            <w:tcW w:w="585" w:type="pct"/>
            <w:shd w:val="clear" w:color="auto" w:fill="auto"/>
            <w:noWrap/>
            <w:vAlign w:val="center"/>
            <w:hideMark/>
          </w:tcPr>
          <w:p w:rsidR="00B43706" w:rsidRPr="00B43706" w:rsidRDefault="00B43706" w:rsidP="00125504">
            <w:pPr>
              <w:pStyle w:val="NoSpacing"/>
              <w:jc w:val="center"/>
              <w:rPr>
                <w:rFonts w:eastAsia="Times New Roman"/>
                <w:b/>
                <w:szCs w:val="20"/>
              </w:rPr>
            </w:pPr>
            <w:r w:rsidRPr="00B43706">
              <w:rPr>
                <w:rFonts w:eastAsia="Times New Roman"/>
                <w:b/>
                <w:szCs w:val="20"/>
              </w:rPr>
              <w:t>SEd</w:t>
            </w:r>
          </w:p>
        </w:tc>
        <w:tc>
          <w:tcPr>
            <w:tcW w:w="621" w:type="pct"/>
            <w:shd w:val="clear" w:color="auto" w:fill="auto"/>
            <w:noWrap/>
            <w:vAlign w:val="center"/>
            <w:hideMark/>
          </w:tcPr>
          <w:p w:rsidR="00B43706" w:rsidRPr="00B43706" w:rsidRDefault="00B43706" w:rsidP="00125504">
            <w:pPr>
              <w:pStyle w:val="NoSpacing"/>
              <w:jc w:val="center"/>
              <w:rPr>
                <w:rFonts w:eastAsia="Times New Roman"/>
                <w:b/>
                <w:szCs w:val="20"/>
              </w:rPr>
            </w:pPr>
            <w:r w:rsidRPr="00B43706">
              <w:rPr>
                <w:rFonts w:eastAsia="Times New Roman"/>
                <w:b/>
                <w:szCs w:val="20"/>
              </w:rPr>
              <w:t>CD</w:t>
            </w:r>
          </w:p>
        </w:tc>
        <w:tc>
          <w:tcPr>
            <w:tcW w:w="559" w:type="pct"/>
            <w:shd w:val="clear" w:color="auto" w:fill="auto"/>
            <w:noWrap/>
            <w:vAlign w:val="center"/>
            <w:hideMark/>
          </w:tcPr>
          <w:p w:rsidR="00B43706" w:rsidRPr="00B43706" w:rsidRDefault="00B43706" w:rsidP="00125504">
            <w:pPr>
              <w:pStyle w:val="NoSpacing"/>
              <w:jc w:val="center"/>
              <w:rPr>
                <w:rFonts w:eastAsia="Times New Roman"/>
                <w:b/>
                <w:szCs w:val="20"/>
              </w:rPr>
            </w:pPr>
          </w:p>
        </w:tc>
        <w:tc>
          <w:tcPr>
            <w:tcW w:w="584" w:type="pct"/>
            <w:shd w:val="clear" w:color="auto" w:fill="auto"/>
            <w:noWrap/>
            <w:vAlign w:val="center"/>
            <w:hideMark/>
          </w:tcPr>
          <w:p w:rsidR="00B43706" w:rsidRPr="00B43706" w:rsidRDefault="00B43706" w:rsidP="00125504">
            <w:pPr>
              <w:pStyle w:val="NoSpacing"/>
              <w:jc w:val="center"/>
              <w:rPr>
                <w:rFonts w:eastAsia="Times New Roman"/>
                <w:b/>
                <w:szCs w:val="20"/>
              </w:rPr>
            </w:pPr>
            <w:r w:rsidRPr="00B43706">
              <w:rPr>
                <w:rFonts w:eastAsia="Times New Roman"/>
                <w:b/>
                <w:szCs w:val="20"/>
              </w:rPr>
              <w:t>SEd</w:t>
            </w:r>
          </w:p>
        </w:tc>
        <w:tc>
          <w:tcPr>
            <w:tcW w:w="621" w:type="pct"/>
            <w:shd w:val="clear" w:color="auto" w:fill="auto"/>
            <w:noWrap/>
            <w:vAlign w:val="center"/>
            <w:hideMark/>
          </w:tcPr>
          <w:p w:rsidR="00B43706" w:rsidRPr="00B43706" w:rsidRDefault="00B43706" w:rsidP="00125504">
            <w:pPr>
              <w:pStyle w:val="NoSpacing"/>
              <w:jc w:val="center"/>
              <w:rPr>
                <w:rFonts w:eastAsia="Times New Roman"/>
                <w:b/>
                <w:szCs w:val="20"/>
              </w:rPr>
            </w:pPr>
            <w:r w:rsidRPr="00B43706">
              <w:rPr>
                <w:rFonts w:eastAsia="Times New Roman"/>
                <w:b/>
                <w:szCs w:val="20"/>
              </w:rPr>
              <w:t>CD</w:t>
            </w:r>
          </w:p>
        </w:tc>
        <w:tc>
          <w:tcPr>
            <w:tcW w:w="560" w:type="pct"/>
            <w:shd w:val="clear" w:color="auto" w:fill="auto"/>
            <w:noWrap/>
            <w:vAlign w:val="center"/>
            <w:hideMark/>
          </w:tcPr>
          <w:p w:rsidR="00B43706" w:rsidRPr="00B43706" w:rsidRDefault="00B43706" w:rsidP="00125504">
            <w:pPr>
              <w:pStyle w:val="NoSpacing"/>
              <w:jc w:val="center"/>
              <w:rPr>
                <w:rFonts w:eastAsia="Times New Roman"/>
                <w:szCs w:val="20"/>
              </w:rPr>
            </w:pPr>
          </w:p>
        </w:tc>
      </w:tr>
      <w:tr w:rsidR="00B43706" w:rsidRPr="00B43706" w:rsidTr="00125504">
        <w:trPr>
          <w:trHeight w:val="393"/>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rPr>
            </w:pPr>
            <w:r w:rsidRPr="00B43706">
              <w:rPr>
                <w:rFonts w:eastAsia="Times New Roman"/>
                <w:color w:val="000000"/>
                <w:szCs w:val="20"/>
              </w:rPr>
              <w:t>V</w:t>
            </w:r>
          </w:p>
        </w:tc>
        <w:tc>
          <w:tcPr>
            <w:tcW w:w="585"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4.43</w:t>
            </w:r>
          </w:p>
        </w:tc>
        <w:tc>
          <w:tcPr>
            <w:tcW w:w="621"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19.06</w:t>
            </w:r>
          </w:p>
        </w:tc>
        <w:tc>
          <w:tcPr>
            <w:tcW w:w="559" w:type="pct"/>
            <w:shd w:val="clear" w:color="auto" w:fill="auto"/>
            <w:noWrap/>
            <w:vAlign w:val="center"/>
          </w:tcPr>
          <w:p w:rsidR="00B43706" w:rsidRPr="00B43706" w:rsidRDefault="00B43706" w:rsidP="00125504">
            <w:pPr>
              <w:pStyle w:val="NoSpacing"/>
              <w:jc w:val="center"/>
              <w:rPr>
                <w:rFonts w:eastAsia="Times New Roman"/>
                <w:szCs w:val="20"/>
              </w:rPr>
            </w:pPr>
          </w:p>
        </w:tc>
        <w:tc>
          <w:tcPr>
            <w:tcW w:w="584"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4.90</w:t>
            </w:r>
          </w:p>
        </w:tc>
        <w:tc>
          <w:tcPr>
            <w:tcW w:w="621"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21.06</w:t>
            </w:r>
          </w:p>
        </w:tc>
        <w:tc>
          <w:tcPr>
            <w:tcW w:w="560" w:type="pct"/>
            <w:shd w:val="clear" w:color="auto" w:fill="auto"/>
            <w:noWrap/>
            <w:vAlign w:val="center"/>
          </w:tcPr>
          <w:p w:rsidR="00B43706" w:rsidRPr="00B43706" w:rsidRDefault="00B43706" w:rsidP="00125504">
            <w:pPr>
              <w:pStyle w:val="NoSpacing"/>
              <w:jc w:val="center"/>
              <w:rPr>
                <w:rFonts w:eastAsia="Times New Roman"/>
                <w:szCs w:val="20"/>
              </w:rPr>
            </w:pPr>
          </w:p>
        </w:tc>
      </w:tr>
      <w:tr w:rsidR="00B43706" w:rsidRPr="00B43706" w:rsidTr="00125504">
        <w:trPr>
          <w:trHeight w:val="393"/>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rPr>
            </w:pPr>
            <w:r w:rsidRPr="00B43706">
              <w:rPr>
                <w:rFonts w:eastAsia="Times New Roman"/>
                <w:color w:val="000000"/>
                <w:szCs w:val="20"/>
              </w:rPr>
              <w:lastRenderedPageBreak/>
              <w:t>T</w:t>
            </w:r>
          </w:p>
        </w:tc>
        <w:tc>
          <w:tcPr>
            <w:tcW w:w="585"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10.96</w:t>
            </w:r>
          </w:p>
        </w:tc>
        <w:tc>
          <w:tcPr>
            <w:tcW w:w="621"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22.61</w:t>
            </w:r>
          </w:p>
        </w:tc>
        <w:tc>
          <w:tcPr>
            <w:tcW w:w="559" w:type="pct"/>
            <w:shd w:val="clear" w:color="auto" w:fill="auto"/>
            <w:noWrap/>
            <w:vAlign w:val="center"/>
          </w:tcPr>
          <w:p w:rsidR="00B43706" w:rsidRPr="00B43706" w:rsidRDefault="00B43706" w:rsidP="00125504">
            <w:pPr>
              <w:pStyle w:val="NoSpacing"/>
              <w:jc w:val="center"/>
              <w:rPr>
                <w:rFonts w:eastAsia="Times New Roman"/>
                <w:szCs w:val="20"/>
              </w:rPr>
            </w:pPr>
          </w:p>
        </w:tc>
        <w:tc>
          <w:tcPr>
            <w:tcW w:w="584"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11.05</w:t>
            </w:r>
          </w:p>
        </w:tc>
        <w:tc>
          <w:tcPr>
            <w:tcW w:w="621"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22.82</w:t>
            </w:r>
          </w:p>
        </w:tc>
        <w:tc>
          <w:tcPr>
            <w:tcW w:w="560" w:type="pct"/>
            <w:shd w:val="clear" w:color="auto" w:fill="auto"/>
            <w:noWrap/>
            <w:vAlign w:val="center"/>
          </w:tcPr>
          <w:p w:rsidR="00B43706" w:rsidRPr="00B43706" w:rsidRDefault="00B43706" w:rsidP="00125504">
            <w:pPr>
              <w:pStyle w:val="NoSpacing"/>
              <w:jc w:val="center"/>
              <w:rPr>
                <w:rFonts w:eastAsia="Times New Roman"/>
                <w:szCs w:val="20"/>
              </w:rPr>
            </w:pPr>
          </w:p>
        </w:tc>
      </w:tr>
      <w:tr w:rsidR="00B43706" w:rsidRPr="00B43706" w:rsidTr="00125504">
        <w:trPr>
          <w:trHeight w:val="393"/>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rPr>
            </w:pPr>
            <w:r w:rsidRPr="00B43706">
              <w:rPr>
                <w:rFonts w:eastAsia="Times New Roman"/>
                <w:color w:val="000000"/>
                <w:szCs w:val="20"/>
              </w:rPr>
              <w:t>V at T</w:t>
            </w:r>
          </w:p>
        </w:tc>
        <w:tc>
          <w:tcPr>
            <w:tcW w:w="585"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15.01</w:t>
            </w:r>
          </w:p>
        </w:tc>
        <w:tc>
          <w:tcPr>
            <w:tcW w:w="621"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33.92</w:t>
            </w:r>
          </w:p>
        </w:tc>
        <w:tc>
          <w:tcPr>
            <w:tcW w:w="559" w:type="pct"/>
            <w:shd w:val="clear" w:color="auto" w:fill="auto"/>
            <w:noWrap/>
            <w:vAlign w:val="center"/>
          </w:tcPr>
          <w:p w:rsidR="00B43706" w:rsidRPr="00B43706" w:rsidRDefault="00B43706" w:rsidP="00125504">
            <w:pPr>
              <w:pStyle w:val="NoSpacing"/>
              <w:jc w:val="center"/>
              <w:rPr>
                <w:rFonts w:eastAsia="Times New Roman"/>
                <w:szCs w:val="20"/>
              </w:rPr>
            </w:pPr>
          </w:p>
        </w:tc>
        <w:tc>
          <w:tcPr>
            <w:tcW w:w="584"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15.29</w:t>
            </w:r>
          </w:p>
        </w:tc>
        <w:tc>
          <w:tcPr>
            <w:tcW w:w="621"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35.05</w:t>
            </w:r>
          </w:p>
        </w:tc>
        <w:tc>
          <w:tcPr>
            <w:tcW w:w="560" w:type="pct"/>
            <w:shd w:val="clear" w:color="auto" w:fill="auto"/>
            <w:noWrap/>
            <w:vAlign w:val="center"/>
          </w:tcPr>
          <w:p w:rsidR="00B43706" w:rsidRPr="00B43706" w:rsidRDefault="00B43706" w:rsidP="00125504">
            <w:pPr>
              <w:pStyle w:val="NoSpacing"/>
              <w:jc w:val="center"/>
              <w:rPr>
                <w:rFonts w:eastAsia="Times New Roman"/>
                <w:szCs w:val="20"/>
              </w:rPr>
            </w:pPr>
          </w:p>
        </w:tc>
      </w:tr>
      <w:tr w:rsidR="00B43706" w:rsidRPr="00B43706" w:rsidTr="00125504">
        <w:trPr>
          <w:trHeight w:val="393"/>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rPr>
            </w:pPr>
            <w:r w:rsidRPr="00B43706">
              <w:rPr>
                <w:rFonts w:eastAsia="Times New Roman"/>
                <w:color w:val="000000"/>
                <w:szCs w:val="20"/>
              </w:rPr>
              <w:t>T at V</w:t>
            </w:r>
          </w:p>
        </w:tc>
        <w:tc>
          <w:tcPr>
            <w:tcW w:w="585"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15.49</w:t>
            </w:r>
          </w:p>
        </w:tc>
        <w:tc>
          <w:tcPr>
            <w:tcW w:w="621"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31.98</w:t>
            </w:r>
          </w:p>
        </w:tc>
        <w:tc>
          <w:tcPr>
            <w:tcW w:w="559" w:type="pct"/>
            <w:shd w:val="clear" w:color="auto" w:fill="auto"/>
            <w:noWrap/>
            <w:vAlign w:val="center"/>
          </w:tcPr>
          <w:p w:rsidR="00B43706" w:rsidRPr="00B43706" w:rsidRDefault="00B43706" w:rsidP="00125504">
            <w:pPr>
              <w:pStyle w:val="NoSpacing"/>
              <w:jc w:val="center"/>
              <w:rPr>
                <w:rFonts w:eastAsia="Times New Roman"/>
                <w:szCs w:val="20"/>
              </w:rPr>
            </w:pPr>
          </w:p>
        </w:tc>
        <w:tc>
          <w:tcPr>
            <w:tcW w:w="584"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15.64</w:t>
            </w:r>
          </w:p>
        </w:tc>
        <w:tc>
          <w:tcPr>
            <w:tcW w:w="621"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32.28</w:t>
            </w:r>
          </w:p>
        </w:tc>
        <w:tc>
          <w:tcPr>
            <w:tcW w:w="560" w:type="pct"/>
            <w:shd w:val="clear" w:color="auto" w:fill="auto"/>
            <w:noWrap/>
            <w:vAlign w:val="center"/>
          </w:tcPr>
          <w:p w:rsidR="00B43706" w:rsidRPr="00B43706" w:rsidRDefault="00B43706" w:rsidP="00125504">
            <w:pPr>
              <w:pStyle w:val="NoSpacing"/>
              <w:jc w:val="center"/>
              <w:rPr>
                <w:rFonts w:eastAsia="Times New Roman"/>
                <w:szCs w:val="20"/>
              </w:rPr>
            </w:pPr>
          </w:p>
        </w:tc>
      </w:tr>
    </w:tbl>
    <w:p w:rsidR="00B43706" w:rsidRPr="00B43706" w:rsidRDefault="00B43706" w:rsidP="00757CC1">
      <w:pPr>
        <w:rPr>
          <w:szCs w:val="20"/>
        </w:rPr>
      </w:pPr>
    </w:p>
    <w:p w:rsidR="00B43706" w:rsidRPr="00B43706" w:rsidRDefault="00B43706" w:rsidP="00757CC1">
      <w:pPr>
        <w:rPr>
          <w:szCs w:val="20"/>
        </w:rPr>
      </w:pPr>
    </w:p>
    <w:p w:rsidR="00B43706" w:rsidRPr="00B43706" w:rsidRDefault="00B43706" w:rsidP="00B43706">
      <w:pPr>
        <w:spacing w:after="0"/>
        <w:rPr>
          <w:b/>
          <w:szCs w:val="20"/>
        </w:rPr>
      </w:pPr>
      <w:r w:rsidRPr="00B43706">
        <w:rPr>
          <w:b/>
          <w:szCs w:val="20"/>
        </w:rPr>
        <w:t xml:space="preserve">Table 3. Effect of graded levels of sulphur on stalk yield of sesamum varieties </w:t>
      </w:r>
    </w:p>
    <w:p w:rsidR="00B43706" w:rsidRPr="00B43706" w:rsidRDefault="00B43706" w:rsidP="00B43706">
      <w:pPr>
        <w:spacing w:after="0"/>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1081"/>
        <w:gridCol w:w="1148"/>
        <w:gridCol w:w="1033"/>
        <w:gridCol w:w="1080"/>
        <w:gridCol w:w="1148"/>
        <w:gridCol w:w="1035"/>
      </w:tblGrid>
      <w:tr w:rsidR="00B43706" w:rsidRPr="00B43706" w:rsidTr="00125504">
        <w:trPr>
          <w:trHeight w:val="393"/>
        </w:trPr>
        <w:tc>
          <w:tcPr>
            <w:tcW w:w="5000" w:type="pct"/>
            <w:gridSpan w:val="7"/>
            <w:shd w:val="clear" w:color="auto" w:fill="auto"/>
            <w:noWrap/>
            <w:vAlign w:val="center"/>
            <w:hideMark/>
          </w:tcPr>
          <w:p w:rsidR="00B43706" w:rsidRPr="00B43706" w:rsidRDefault="00B43706" w:rsidP="00125504">
            <w:pPr>
              <w:spacing w:after="0"/>
              <w:jc w:val="center"/>
              <w:rPr>
                <w:rFonts w:eastAsia="Times New Roman"/>
                <w:b/>
                <w:color w:val="000000"/>
                <w:szCs w:val="20"/>
                <w:vertAlign w:val="superscript"/>
              </w:rPr>
            </w:pPr>
            <w:r w:rsidRPr="00B43706">
              <w:rPr>
                <w:rFonts w:eastAsia="Times New Roman"/>
                <w:b/>
                <w:color w:val="000000"/>
                <w:szCs w:val="20"/>
              </w:rPr>
              <w:t>Stalk yield (kgha</w:t>
            </w:r>
            <w:r w:rsidRPr="00B43706">
              <w:rPr>
                <w:rFonts w:eastAsia="Times New Roman"/>
                <w:b/>
                <w:color w:val="000000"/>
                <w:szCs w:val="20"/>
                <w:vertAlign w:val="superscript"/>
              </w:rPr>
              <w:t>-1</w:t>
            </w:r>
            <w:r w:rsidRPr="00B43706">
              <w:rPr>
                <w:rFonts w:eastAsia="Times New Roman"/>
                <w:b/>
                <w:color w:val="000000"/>
                <w:szCs w:val="20"/>
              </w:rPr>
              <w:t>)</w:t>
            </w:r>
          </w:p>
        </w:tc>
      </w:tr>
      <w:tr w:rsidR="00B43706" w:rsidRPr="00B43706" w:rsidTr="00125504">
        <w:trPr>
          <w:trHeight w:val="393"/>
        </w:trPr>
        <w:tc>
          <w:tcPr>
            <w:tcW w:w="3235" w:type="pct"/>
            <w:gridSpan w:val="4"/>
            <w:shd w:val="clear" w:color="auto" w:fill="auto"/>
            <w:noWrap/>
            <w:vAlign w:val="center"/>
            <w:hideMark/>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Sulphur sufficient soil</w:t>
            </w:r>
          </w:p>
        </w:tc>
        <w:tc>
          <w:tcPr>
            <w:tcW w:w="1765" w:type="pct"/>
            <w:gridSpan w:val="3"/>
            <w:shd w:val="clear" w:color="auto" w:fill="auto"/>
            <w:noWrap/>
            <w:vAlign w:val="center"/>
            <w:hideMark/>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Sulphur deficient soil</w:t>
            </w:r>
          </w:p>
        </w:tc>
      </w:tr>
      <w:tr w:rsidR="00B43706" w:rsidRPr="00B43706" w:rsidTr="00125504">
        <w:trPr>
          <w:trHeight w:val="393"/>
        </w:trPr>
        <w:tc>
          <w:tcPr>
            <w:tcW w:w="1470" w:type="pct"/>
            <w:shd w:val="clear" w:color="auto" w:fill="auto"/>
            <w:noWrap/>
            <w:vAlign w:val="center"/>
            <w:hideMark/>
          </w:tcPr>
          <w:p w:rsidR="00B43706" w:rsidRPr="00B43706" w:rsidRDefault="00B43706" w:rsidP="00125504">
            <w:pPr>
              <w:spacing w:after="0"/>
              <w:rPr>
                <w:rFonts w:eastAsia="Times New Roman"/>
                <w:b/>
                <w:color w:val="000000"/>
                <w:szCs w:val="20"/>
              </w:rPr>
            </w:pPr>
            <w:r w:rsidRPr="00B43706">
              <w:rPr>
                <w:rFonts w:eastAsia="Times New Roman"/>
                <w:b/>
                <w:color w:val="000000"/>
                <w:szCs w:val="20"/>
              </w:rPr>
              <w:t>Treatments</w:t>
            </w:r>
          </w:p>
        </w:tc>
        <w:tc>
          <w:tcPr>
            <w:tcW w:w="585" w:type="pct"/>
            <w:shd w:val="clear" w:color="auto" w:fill="auto"/>
            <w:noWrap/>
            <w:vAlign w:val="center"/>
            <w:hideMark/>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TMV 7</w:t>
            </w:r>
          </w:p>
        </w:tc>
        <w:tc>
          <w:tcPr>
            <w:tcW w:w="621" w:type="pct"/>
            <w:shd w:val="clear" w:color="auto" w:fill="auto"/>
            <w:noWrap/>
            <w:vAlign w:val="center"/>
            <w:hideMark/>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SVPR 1</w:t>
            </w:r>
          </w:p>
        </w:tc>
        <w:tc>
          <w:tcPr>
            <w:tcW w:w="559" w:type="pct"/>
            <w:shd w:val="clear" w:color="auto" w:fill="auto"/>
            <w:noWrap/>
            <w:vAlign w:val="center"/>
            <w:hideMark/>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Mean</w:t>
            </w:r>
          </w:p>
        </w:tc>
        <w:tc>
          <w:tcPr>
            <w:tcW w:w="584" w:type="pct"/>
            <w:shd w:val="clear" w:color="auto" w:fill="auto"/>
            <w:noWrap/>
            <w:vAlign w:val="center"/>
            <w:hideMark/>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TMV 7</w:t>
            </w:r>
          </w:p>
        </w:tc>
        <w:tc>
          <w:tcPr>
            <w:tcW w:w="621" w:type="pct"/>
            <w:shd w:val="clear" w:color="auto" w:fill="auto"/>
            <w:noWrap/>
            <w:vAlign w:val="center"/>
            <w:hideMark/>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SVPR 1</w:t>
            </w:r>
          </w:p>
        </w:tc>
        <w:tc>
          <w:tcPr>
            <w:tcW w:w="560" w:type="pct"/>
            <w:shd w:val="clear" w:color="auto" w:fill="auto"/>
            <w:noWrap/>
            <w:vAlign w:val="center"/>
            <w:hideMark/>
          </w:tcPr>
          <w:p w:rsidR="00B43706" w:rsidRPr="00B43706" w:rsidRDefault="00B43706" w:rsidP="00125504">
            <w:pPr>
              <w:spacing w:after="0"/>
              <w:jc w:val="center"/>
              <w:rPr>
                <w:rFonts w:eastAsia="Times New Roman"/>
                <w:b/>
                <w:color w:val="000000"/>
                <w:szCs w:val="20"/>
              </w:rPr>
            </w:pPr>
            <w:r w:rsidRPr="00B43706">
              <w:rPr>
                <w:rFonts w:eastAsia="Times New Roman"/>
                <w:b/>
                <w:color w:val="000000"/>
                <w:szCs w:val="20"/>
              </w:rPr>
              <w:t>Mean</w:t>
            </w:r>
          </w:p>
        </w:tc>
      </w:tr>
      <w:tr w:rsidR="00B43706" w:rsidRPr="00B43706" w:rsidTr="00125504">
        <w:trPr>
          <w:trHeight w:val="432"/>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rPr>
            </w:pPr>
            <w:r w:rsidRPr="00B43706">
              <w:rPr>
                <w:rFonts w:eastAsia="Times New Roman"/>
                <w:color w:val="000000"/>
                <w:szCs w:val="20"/>
              </w:rPr>
              <w:t>Absolute Control</w:t>
            </w:r>
          </w:p>
        </w:tc>
        <w:tc>
          <w:tcPr>
            <w:tcW w:w="585" w:type="pct"/>
            <w:shd w:val="clear" w:color="auto" w:fill="auto"/>
            <w:noWrap/>
          </w:tcPr>
          <w:p w:rsidR="00B43706" w:rsidRPr="00B43706" w:rsidRDefault="00B43706" w:rsidP="00125504">
            <w:pPr>
              <w:jc w:val="center"/>
              <w:rPr>
                <w:szCs w:val="20"/>
              </w:rPr>
            </w:pPr>
            <w:r w:rsidRPr="00B43706">
              <w:rPr>
                <w:szCs w:val="20"/>
              </w:rPr>
              <w:t>3034</w:t>
            </w:r>
          </w:p>
        </w:tc>
        <w:tc>
          <w:tcPr>
            <w:tcW w:w="621" w:type="pct"/>
            <w:shd w:val="clear" w:color="auto" w:fill="auto"/>
            <w:noWrap/>
          </w:tcPr>
          <w:p w:rsidR="00B43706" w:rsidRPr="00B43706" w:rsidRDefault="00B43706" w:rsidP="00125504">
            <w:pPr>
              <w:jc w:val="center"/>
              <w:rPr>
                <w:szCs w:val="20"/>
              </w:rPr>
            </w:pPr>
            <w:r w:rsidRPr="00B43706">
              <w:rPr>
                <w:szCs w:val="20"/>
              </w:rPr>
              <w:t>2974</w:t>
            </w:r>
          </w:p>
        </w:tc>
        <w:tc>
          <w:tcPr>
            <w:tcW w:w="559" w:type="pct"/>
            <w:shd w:val="clear" w:color="auto" w:fill="auto"/>
            <w:noWrap/>
          </w:tcPr>
          <w:p w:rsidR="00B43706" w:rsidRPr="00B43706" w:rsidRDefault="00B43706" w:rsidP="00125504">
            <w:pPr>
              <w:jc w:val="center"/>
              <w:rPr>
                <w:szCs w:val="20"/>
              </w:rPr>
            </w:pPr>
            <w:r w:rsidRPr="00B43706">
              <w:rPr>
                <w:szCs w:val="20"/>
              </w:rPr>
              <w:t>3004</w:t>
            </w:r>
          </w:p>
        </w:tc>
        <w:tc>
          <w:tcPr>
            <w:tcW w:w="584" w:type="pct"/>
            <w:shd w:val="clear" w:color="auto" w:fill="auto"/>
            <w:noWrap/>
          </w:tcPr>
          <w:p w:rsidR="00B43706" w:rsidRPr="00B43706" w:rsidRDefault="00B43706" w:rsidP="00125504">
            <w:pPr>
              <w:jc w:val="center"/>
              <w:rPr>
                <w:szCs w:val="20"/>
              </w:rPr>
            </w:pPr>
            <w:r w:rsidRPr="00B43706">
              <w:rPr>
                <w:szCs w:val="20"/>
              </w:rPr>
              <w:t>2962</w:t>
            </w:r>
          </w:p>
        </w:tc>
        <w:tc>
          <w:tcPr>
            <w:tcW w:w="621" w:type="pct"/>
            <w:shd w:val="clear" w:color="auto" w:fill="auto"/>
            <w:noWrap/>
          </w:tcPr>
          <w:p w:rsidR="00B43706" w:rsidRPr="00B43706" w:rsidRDefault="00B43706" w:rsidP="00125504">
            <w:pPr>
              <w:jc w:val="center"/>
              <w:rPr>
                <w:szCs w:val="20"/>
              </w:rPr>
            </w:pPr>
            <w:r w:rsidRPr="00B43706">
              <w:rPr>
                <w:szCs w:val="20"/>
              </w:rPr>
              <w:t>2954</w:t>
            </w:r>
          </w:p>
        </w:tc>
        <w:tc>
          <w:tcPr>
            <w:tcW w:w="560" w:type="pct"/>
            <w:shd w:val="clear" w:color="auto" w:fill="auto"/>
            <w:noWrap/>
          </w:tcPr>
          <w:p w:rsidR="00B43706" w:rsidRPr="00B43706" w:rsidRDefault="00B43706" w:rsidP="00125504">
            <w:pPr>
              <w:jc w:val="center"/>
              <w:rPr>
                <w:szCs w:val="20"/>
              </w:rPr>
            </w:pPr>
            <w:r w:rsidRPr="00B43706">
              <w:rPr>
                <w:szCs w:val="20"/>
              </w:rPr>
              <w:t>2958</w:t>
            </w:r>
          </w:p>
        </w:tc>
      </w:tr>
      <w:tr w:rsidR="00B43706" w:rsidRPr="00B43706" w:rsidTr="00125504">
        <w:trPr>
          <w:trHeight w:val="432"/>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rPr>
            </w:pPr>
            <w:r w:rsidRPr="00B43706">
              <w:rPr>
                <w:rFonts w:eastAsia="Times New Roman"/>
                <w:color w:val="000000"/>
                <w:szCs w:val="20"/>
              </w:rPr>
              <w:t>RDF alone</w:t>
            </w:r>
          </w:p>
        </w:tc>
        <w:tc>
          <w:tcPr>
            <w:tcW w:w="585" w:type="pct"/>
            <w:shd w:val="clear" w:color="auto" w:fill="auto"/>
            <w:noWrap/>
          </w:tcPr>
          <w:p w:rsidR="00B43706" w:rsidRPr="00B43706" w:rsidRDefault="00B43706" w:rsidP="00125504">
            <w:pPr>
              <w:jc w:val="center"/>
              <w:rPr>
                <w:szCs w:val="20"/>
              </w:rPr>
            </w:pPr>
            <w:r w:rsidRPr="00B43706">
              <w:rPr>
                <w:szCs w:val="20"/>
              </w:rPr>
              <w:t>3067</w:t>
            </w:r>
          </w:p>
        </w:tc>
        <w:tc>
          <w:tcPr>
            <w:tcW w:w="621" w:type="pct"/>
            <w:shd w:val="clear" w:color="auto" w:fill="auto"/>
            <w:noWrap/>
          </w:tcPr>
          <w:p w:rsidR="00B43706" w:rsidRPr="00B43706" w:rsidRDefault="00B43706" w:rsidP="00125504">
            <w:pPr>
              <w:jc w:val="center"/>
              <w:rPr>
                <w:szCs w:val="20"/>
              </w:rPr>
            </w:pPr>
            <w:r w:rsidRPr="00B43706">
              <w:rPr>
                <w:szCs w:val="20"/>
              </w:rPr>
              <w:t>3016</w:t>
            </w:r>
          </w:p>
        </w:tc>
        <w:tc>
          <w:tcPr>
            <w:tcW w:w="559" w:type="pct"/>
            <w:shd w:val="clear" w:color="auto" w:fill="auto"/>
            <w:noWrap/>
          </w:tcPr>
          <w:p w:rsidR="00B43706" w:rsidRPr="00B43706" w:rsidRDefault="00B43706" w:rsidP="00125504">
            <w:pPr>
              <w:jc w:val="center"/>
              <w:rPr>
                <w:szCs w:val="20"/>
              </w:rPr>
            </w:pPr>
            <w:r w:rsidRPr="00B43706">
              <w:rPr>
                <w:szCs w:val="20"/>
              </w:rPr>
              <w:t>3042</w:t>
            </w:r>
          </w:p>
        </w:tc>
        <w:tc>
          <w:tcPr>
            <w:tcW w:w="584" w:type="pct"/>
            <w:shd w:val="clear" w:color="auto" w:fill="auto"/>
            <w:noWrap/>
          </w:tcPr>
          <w:p w:rsidR="00B43706" w:rsidRPr="00B43706" w:rsidRDefault="00B43706" w:rsidP="00125504">
            <w:pPr>
              <w:jc w:val="center"/>
              <w:rPr>
                <w:szCs w:val="20"/>
              </w:rPr>
            </w:pPr>
            <w:r w:rsidRPr="00B43706">
              <w:rPr>
                <w:szCs w:val="20"/>
              </w:rPr>
              <w:t>3052</w:t>
            </w:r>
          </w:p>
        </w:tc>
        <w:tc>
          <w:tcPr>
            <w:tcW w:w="621" w:type="pct"/>
            <w:shd w:val="clear" w:color="auto" w:fill="auto"/>
            <w:noWrap/>
          </w:tcPr>
          <w:p w:rsidR="00B43706" w:rsidRPr="00B43706" w:rsidRDefault="00B43706" w:rsidP="00125504">
            <w:pPr>
              <w:jc w:val="center"/>
              <w:rPr>
                <w:szCs w:val="20"/>
              </w:rPr>
            </w:pPr>
            <w:r w:rsidRPr="00B43706">
              <w:rPr>
                <w:szCs w:val="20"/>
              </w:rPr>
              <w:t>3006</w:t>
            </w:r>
          </w:p>
        </w:tc>
        <w:tc>
          <w:tcPr>
            <w:tcW w:w="560" w:type="pct"/>
            <w:shd w:val="clear" w:color="auto" w:fill="auto"/>
            <w:noWrap/>
          </w:tcPr>
          <w:p w:rsidR="00B43706" w:rsidRPr="00B43706" w:rsidRDefault="00B43706" w:rsidP="00125504">
            <w:pPr>
              <w:jc w:val="center"/>
              <w:rPr>
                <w:szCs w:val="20"/>
              </w:rPr>
            </w:pPr>
            <w:r w:rsidRPr="00B43706">
              <w:rPr>
                <w:szCs w:val="20"/>
              </w:rPr>
              <w:t>3029</w:t>
            </w:r>
          </w:p>
        </w:tc>
      </w:tr>
      <w:tr w:rsidR="00B43706" w:rsidRPr="00B43706" w:rsidTr="00125504">
        <w:trPr>
          <w:trHeight w:val="432"/>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rPr>
            </w:pPr>
            <w:r w:rsidRPr="00B43706">
              <w:rPr>
                <w:rFonts w:eastAsia="Times New Roman"/>
                <w:color w:val="000000"/>
                <w:szCs w:val="20"/>
              </w:rPr>
              <w:t xml:space="preserve">RDF+ S </w:t>
            </w:r>
            <w:r w:rsidRPr="00B43706">
              <w:rPr>
                <w:rFonts w:eastAsia="Times New Roman"/>
                <w:color w:val="000000"/>
                <w:szCs w:val="20"/>
                <w:vertAlign w:val="subscript"/>
              </w:rPr>
              <w:t>20</w:t>
            </w:r>
            <w:r w:rsidRPr="00B43706">
              <w:rPr>
                <w:rFonts w:eastAsia="Times New Roman"/>
                <w:color w:val="000000"/>
                <w:szCs w:val="20"/>
              </w:rPr>
              <w:t xml:space="preserve"> kgha</w:t>
            </w:r>
            <w:r w:rsidRPr="00B43706">
              <w:rPr>
                <w:rFonts w:eastAsia="Times New Roman"/>
                <w:color w:val="000000"/>
                <w:szCs w:val="20"/>
                <w:vertAlign w:val="superscript"/>
              </w:rPr>
              <w:t>-1</w:t>
            </w:r>
          </w:p>
        </w:tc>
        <w:tc>
          <w:tcPr>
            <w:tcW w:w="585" w:type="pct"/>
            <w:shd w:val="clear" w:color="auto" w:fill="auto"/>
            <w:noWrap/>
          </w:tcPr>
          <w:p w:rsidR="00B43706" w:rsidRPr="00B43706" w:rsidRDefault="00B43706" w:rsidP="00125504">
            <w:pPr>
              <w:jc w:val="center"/>
              <w:rPr>
                <w:szCs w:val="20"/>
              </w:rPr>
            </w:pPr>
            <w:r w:rsidRPr="00B43706">
              <w:rPr>
                <w:szCs w:val="20"/>
              </w:rPr>
              <w:t>3112</w:t>
            </w:r>
          </w:p>
        </w:tc>
        <w:tc>
          <w:tcPr>
            <w:tcW w:w="621" w:type="pct"/>
            <w:shd w:val="clear" w:color="auto" w:fill="auto"/>
            <w:noWrap/>
          </w:tcPr>
          <w:p w:rsidR="00B43706" w:rsidRPr="00B43706" w:rsidRDefault="00B43706" w:rsidP="00125504">
            <w:pPr>
              <w:jc w:val="center"/>
              <w:rPr>
                <w:szCs w:val="20"/>
              </w:rPr>
            </w:pPr>
            <w:r w:rsidRPr="00B43706">
              <w:rPr>
                <w:szCs w:val="20"/>
              </w:rPr>
              <w:t>3086</w:t>
            </w:r>
          </w:p>
        </w:tc>
        <w:tc>
          <w:tcPr>
            <w:tcW w:w="559" w:type="pct"/>
            <w:shd w:val="clear" w:color="auto" w:fill="auto"/>
            <w:noWrap/>
          </w:tcPr>
          <w:p w:rsidR="00B43706" w:rsidRPr="00B43706" w:rsidRDefault="00B43706" w:rsidP="00125504">
            <w:pPr>
              <w:jc w:val="center"/>
              <w:rPr>
                <w:szCs w:val="20"/>
              </w:rPr>
            </w:pPr>
            <w:r w:rsidRPr="00B43706">
              <w:rPr>
                <w:szCs w:val="20"/>
              </w:rPr>
              <w:t>3099</w:t>
            </w:r>
          </w:p>
        </w:tc>
        <w:tc>
          <w:tcPr>
            <w:tcW w:w="584" w:type="pct"/>
            <w:shd w:val="clear" w:color="auto" w:fill="auto"/>
            <w:noWrap/>
          </w:tcPr>
          <w:p w:rsidR="00B43706" w:rsidRPr="00B43706" w:rsidRDefault="00B43706" w:rsidP="00125504">
            <w:pPr>
              <w:jc w:val="center"/>
              <w:rPr>
                <w:szCs w:val="20"/>
              </w:rPr>
            </w:pPr>
            <w:r w:rsidRPr="00B43706">
              <w:rPr>
                <w:szCs w:val="20"/>
              </w:rPr>
              <w:t>3116</w:t>
            </w:r>
          </w:p>
        </w:tc>
        <w:tc>
          <w:tcPr>
            <w:tcW w:w="621" w:type="pct"/>
            <w:shd w:val="clear" w:color="auto" w:fill="auto"/>
            <w:noWrap/>
          </w:tcPr>
          <w:p w:rsidR="00B43706" w:rsidRPr="00B43706" w:rsidRDefault="00B43706" w:rsidP="00125504">
            <w:pPr>
              <w:jc w:val="center"/>
              <w:rPr>
                <w:szCs w:val="20"/>
              </w:rPr>
            </w:pPr>
            <w:r w:rsidRPr="00B43706">
              <w:rPr>
                <w:szCs w:val="20"/>
              </w:rPr>
              <w:t>3041</w:t>
            </w:r>
          </w:p>
        </w:tc>
        <w:tc>
          <w:tcPr>
            <w:tcW w:w="560" w:type="pct"/>
            <w:shd w:val="clear" w:color="auto" w:fill="auto"/>
            <w:noWrap/>
          </w:tcPr>
          <w:p w:rsidR="00B43706" w:rsidRPr="00B43706" w:rsidRDefault="00B43706" w:rsidP="00125504">
            <w:pPr>
              <w:jc w:val="center"/>
              <w:rPr>
                <w:szCs w:val="20"/>
              </w:rPr>
            </w:pPr>
            <w:r w:rsidRPr="00B43706">
              <w:rPr>
                <w:szCs w:val="20"/>
              </w:rPr>
              <w:t>3079</w:t>
            </w:r>
          </w:p>
        </w:tc>
      </w:tr>
      <w:tr w:rsidR="00B43706" w:rsidRPr="00B43706" w:rsidTr="00125504">
        <w:trPr>
          <w:trHeight w:val="432"/>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rPr>
            </w:pPr>
            <w:r w:rsidRPr="00B43706">
              <w:rPr>
                <w:rFonts w:eastAsia="Times New Roman"/>
                <w:color w:val="000000"/>
                <w:szCs w:val="20"/>
              </w:rPr>
              <w:t xml:space="preserve">RDF+ S </w:t>
            </w:r>
            <w:r w:rsidRPr="00B43706">
              <w:rPr>
                <w:rFonts w:eastAsia="Times New Roman"/>
                <w:color w:val="000000"/>
                <w:szCs w:val="20"/>
                <w:vertAlign w:val="subscript"/>
              </w:rPr>
              <w:t>30</w:t>
            </w:r>
            <w:r w:rsidRPr="00B43706">
              <w:rPr>
                <w:rFonts w:eastAsia="Times New Roman"/>
                <w:color w:val="000000"/>
                <w:szCs w:val="20"/>
              </w:rPr>
              <w:t xml:space="preserve"> kgha</w:t>
            </w:r>
            <w:r w:rsidRPr="00B43706">
              <w:rPr>
                <w:rFonts w:eastAsia="Times New Roman"/>
                <w:color w:val="000000"/>
                <w:szCs w:val="20"/>
                <w:vertAlign w:val="superscript"/>
              </w:rPr>
              <w:t>-1</w:t>
            </w:r>
          </w:p>
        </w:tc>
        <w:tc>
          <w:tcPr>
            <w:tcW w:w="585" w:type="pct"/>
            <w:shd w:val="clear" w:color="auto" w:fill="auto"/>
            <w:noWrap/>
          </w:tcPr>
          <w:p w:rsidR="00B43706" w:rsidRPr="00B43706" w:rsidRDefault="00B43706" w:rsidP="00125504">
            <w:pPr>
              <w:jc w:val="center"/>
              <w:rPr>
                <w:szCs w:val="20"/>
              </w:rPr>
            </w:pPr>
            <w:r w:rsidRPr="00B43706">
              <w:rPr>
                <w:szCs w:val="20"/>
              </w:rPr>
              <w:t>3171</w:t>
            </w:r>
          </w:p>
        </w:tc>
        <w:tc>
          <w:tcPr>
            <w:tcW w:w="621" w:type="pct"/>
            <w:shd w:val="clear" w:color="auto" w:fill="auto"/>
            <w:noWrap/>
          </w:tcPr>
          <w:p w:rsidR="00B43706" w:rsidRPr="00B43706" w:rsidRDefault="00B43706" w:rsidP="00125504">
            <w:pPr>
              <w:jc w:val="center"/>
              <w:rPr>
                <w:szCs w:val="20"/>
              </w:rPr>
            </w:pPr>
            <w:r w:rsidRPr="00B43706">
              <w:rPr>
                <w:szCs w:val="20"/>
              </w:rPr>
              <w:t>3148</w:t>
            </w:r>
          </w:p>
        </w:tc>
        <w:tc>
          <w:tcPr>
            <w:tcW w:w="559" w:type="pct"/>
            <w:shd w:val="clear" w:color="auto" w:fill="auto"/>
            <w:noWrap/>
          </w:tcPr>
          <w:p w:rsidR="00B43706" w:rsidRPr="00B43706" w:rsidRDefault="00B43706" w:rsidP="00125504">
            <w:pPr>
              <w:jc w:val="center"/>
              <w:rPr>
                <w:szCs w:val="20"/>
              </w:rPr>
            </w:pPr>
            <w:r w:rsidRPr="00B43706">
              <w:rPr>
                <w:szCs w:val="20"/>
              </w:rPr>
              <w:t>3160</w:t>
            </w:r>
          </w:p>
        </w:tc>
        <w:tc>
          <w:tcPr>
            <w:tcW w:w="584" w:type="pct"/>
            <w:shd w:val="clear" w:color="auto" w:fill="auto"/>
            <w:noWrap/>
          </w:tcPr>
          <w:p w:rsidR="00B43706" w:rsidRPr="00B43706" w:rsidRDefault="00B43706" w:rsidP="00125504">
            <w:pPr>
              <w:jc w:val="center"/>
              <w:rPr>
                <w:szCs w:val="20"/>
              </w:rPr>
            </w:pPr>
            <w:r w:rsidRPr="00B43706">
              <w:rPr>
                <w:szCs w:val="20"/>
              </w:rPr>
              <w:t>3168</w:t>
            </w:r>
          </w:p>
        </w:tc>
        <w:tc>
          <w:tcPr>
            <w:tcW w:w="621" w:type="pct"/>
            <w:shd w:val="clear" w:color="auto" w:fill="auto"/>
            <w:noWrap/>
          </w:tcPr>
          <w:p w:rsidR="00B43706" w:rsidRPr="00B43706" w:rsidRDefault="00B43706" w:rsidP="00125504">
            <w:pPr>
              <w:jc w:val="center"/>
              <w:rPr>
                <w:szCs w:val="20"/>
              </w:rPr>
            </w:pPr>
            <w:r w:rsidRPr="00B43706">
              <w:rPr>
                <w:szCs w:val="20"/>
              </w:rPr>
              <w:t>3095</w:t>
            </w:r>
          </w:p>
        </w:tc>
        <w:tc>
          <w:tcPr>
            <w:tcW w:w="560" w:type="pct"/>
            <w:shd w:val="clear" w:color="auto" w:fill="auto"/>
            <w:noWrap/>
          </w:tcPr>
          <w:p w:rsidR="00B43706" w:rsidRPr="00B43706" w:rsidRDefault="00B43706" w:rsidP="00125504">
            <w:pPr>
              <w:jc w:val="center"/>
              <w:rPr>
                <w:szCs w:val="20"/>
              </w:rPr>
            </w:pPr>
            <w:r w:rsidRPr="00B43706">
              <w:rPr>
                <w:szCs w:val="20"/>
              </w:rPr>
              <w:t>3132</w:t>
            </w:r>
          </w:p>
        </w:tc>
      </w:tr>
      <w:tr w:rsidR="00B43706" w:rsidRPr="00B43706" w:rsidTr="00125504">
        <w:trPr>
          <w:trHeight w:val="432"/>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rPr>
            </w:pPr>
            <w:r w:rsidRPr="00B43706">
              <w:rPr>
                <w:rFonts w:eastAsia="Times New Roman"/>
                <w:color w:val="000000"/>
                <w:szCs w:val="20"/>
              </w:rPr>
              <w:t xml:space="preserve">RDF+ S </w:t>
            </w:r>
            <w:r w:rsidRPr="00B43706">
              <w:rPr>
                <w:rFonts w:eastAsia="Times New Roman"/>
                <w:color w:val="000000"/>
                <w:szCs w:val="20"/>
                <w:vertAlign w:val="subscript"/>
              </w:rPr>
              <w:t>40</w:t>
            </w:r>
            <w:r w:rsidRPr="00B43706">
              <w:rPr>
                <w:rFonts w:eastAsia="Times New Roman"/>
                <w:color w:val="000000"/>
                <w:szCs w:val="20"/>
              </w:rPr>
              <w:t xml:space="preserve"> kgha</w:t>
            </w:r>
            <w:r w:rsidRPr="00B43706">
              <w:rPr>
                <w:rFonts w:eastAsia="Times New Roman"/>
                <w:color w:val="000000"/>
                <w:szCs w:val="20"/>
                <w:vertAlign w:val="superscript"/>
              </w:rPr>
              <w:t>-1</w:t>
            </w:r>
          </w:p>
        </w:tc>
        <w:tc>
          <w:tcPr>
            <w:tcW w:w="585" w:type="pct"/>
            <w:shd w:val="clear" w:color="auto" w:fill="auto"/>
            <w:noWrap/>
          </w:tcPr>
          <w:p w:rsidR="00B43706" w:rsidRPr="00B43706" w:rsidRDefault="00B43706" w:rsidP="00125504">
            <w:pPr>
              <w:jc w:val="center"/>
              <w:rPr>
                <w:szCs w:val="20"/>
              </w:rPr>
            </w:pPr>
            <w:r w:rsidRPr="00B43706">
              <w:rPr>
                <w:szCs w:val="20"/>
              </w:rPr>
              <w:t>3193</w:t>
            </w:r>
          </w:p>
        </w:tc>
        <w:tc>
          <w:tcPr>
            <w:tcW w:w="621" w:type="pct"/>
            <w:shd w:val="clear" w:color="auto" w:fill="auto"/>
            <w:noWrap/>
          </w:tcPr>
          <w:p w:rsidR="00B43706" w:rsidRPr="00B43706" w:rsidRDefault="00B43706" w:rsidP="00125504">
            <w:pPr>
              <w:jc w:val="center"/>
              <w:rPr>
                <w:szCs w:val="20"/>
              </w:rPr>
            </w:pPr>
            <w:r w:rsidRPr="00B43706">
              <w:rPr>
                <w:szCs w:val="20"/>
              </w:rPr>
              <w:t>3170</w:t>
            </w:r>
          </w:p>
        </w:tc>
        <w:tc>
          <w:tcPr>
            <w:tcW w:w="559" w:type="pct"/>
            <w:shd w:val="clear" w:color="auto" w:fill="auto"/>
            <w:noWrap/>
          </w:tcPr>
          <w:p w:rsidR="00B43706" w:rsidRPr="00B43706" w:rsidRDefault="00B43706" w:rsidP="00125504">
            <w:pPr>
              <w:jc w:val="center"/>
              <w:rPr>
                <w:szCs w:val="20"/>
              </w:rPr>
            </w:pPr>
            <w:r w:rsidRPr="00B43706">
              <w:rPr>
                <w:szCs w:val="20"/>
              </w:rPr>
              <w:t>3182</w:t>
            </w:r>
          </w:p>
        </w:tc>
        <w:tc>
          <w:tcPr>
            <w:tcW w:w="584" w:type="pct"/>
            <w:shd w:val="clear" w:color="auto" w:fill="auto"/>
            <w:noWrap/>
          </w:tcPr>
          <w:p w:rsidR="00B43706" w:rsidRPr="00B43706" w:rsidRDefault="00B43706" w:rsidP="00125504">
            <w:pPr>
              <w:jc w:val="center"/>
              <w:rPr>
                <w:szCs w:val="20"/>
              </w:rPr>
            </w:pPr>
            <w:r w:rsidRPr="00B43706">
              <w:rPr>
                <w:szCs w:val="20"/>
              </w:rPr>
              <w:t>3204</w:t>
            </w:r>
          </w:p>
        </w:tc>
        <w:tc>
          <w:tcPr>
            <w:tcW w:w="621" w:type="pct"/>
            <w:shd w:val="clear" w:color="auto" w:fill="auto"/>
            <w:noWrap/>
          </w:tcPr>
          <w:p w:rsidR="00B43706" w:rsidRPr="00B43706" w:rsidRDefault="00B43706" w:rsidP="00125504">
            <w:pPr>
              <w:jc w:val="center"/>
              <w:rPr>
                <w:szCs w:val="20"/>
              </w:rPr>
            </w:pPr>
            <w:r w:rsidRPr="00B43706">
              <w:rPr>
                <w:szCs w:val="20"/>
              </w:rPr>
              <w:t>3151</w:t>
            </w:r>
          </w:p>
        </w:tc>
        <w:tc>
          <w:tcPr>
            <w:tcW w:w="560" w:type="pct"/>
            <w:shd w:val="clear" w:color="auto" w:fill="auto"/>
            <w:noWrap/>
          </w:tcPr>
          <w:p w:rsidR="00B43706" w:rsidRPr="00B43706" w:rsidRDefault="00B43706" w:rsidP="00125504">
            <w:pPr>
              <w:jc w:val="center"/>
              <w:rPr>
                <w:szCs w:val="20"/>
              </w:rPr>
            </w:pPr>
            <w:r w:rsidRPr="00B43706">
              <w:rPr>
                <w:szCs w:val="20"/>
              </w:rPr>
              <w:t>3178</w:t>
            </w:r>
          </w:p>
        </w:tc>
      </w:tr>
      <w:tr w:rsidR="00B43706" w:rsidRPr="00B43706" w:rsidTr="00125504">
        <w:trPr>
          <w:trHeight w:val="432"/>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rPr>
            </w:pPr>
            <w:r w:rsidRPr="00B43706">
              <w:rPr>
                <w:rFonts w:eastAsia="Times New Roman"/>
                <w:color w:val="000000"/>
                <w:szCs w:val="20"/>
              </w:rPr>
              <w:t xml:space="preserve">RDF+ S </w:t>
            </w:r>
            <w:r w:rsidRPr="00B43706">
              <w:rPr>
                <w:rFonts w:eastAsia="Times New Roman"/>
                <w:color w:val="000000"/>
                <w:szCs w:val="20"/>
                <w:vertAlign w:val="subscript"/>
              </w:rPr>
              <w:t>50</w:t>
            </w:r>
            <w:r w:rsidRPr="00B43706">
              <w:rPr>
                <w:rFonts w:eastAsia="Times New Roman"/>
                <w:color w:val="000000"/>
                <w:szCs w:val="20"/>
              </w:rPr>
              <w:t xml:space="preserve"> kgha</w:t>
            </w:r>
            <w:r w:rsidRPr="00B43706">
              <w:rPr>
                <w:rFonts w:eastAsia="Times New Roman"/>
                <w:color w:val="000000"/>
                <w:szCs w:val="20"/>
                <w:vertAlign w:val="superscript"/>
              </w:rPr>
              <w:t>-1</w:t>
            </w:r>
          </w:p>
        </w:tc>
        <w:tc>
          <w:tcPr>
            <w:tcW w:w="585" w:type="pct"/>
            <w:shd w:val="clear" w:color="auto" w:fill="auto"/>
            <w:noWrap/>
          </w:tcPr>
          <w:p w:rsidR="00B43706" w:rsidRPr="00B43706" w:rsidRDefault="00B43706" w:rsidP="00125504">
            <w:pPr>
              <w:jc w:val="center"/>
              <w:rPr>
                <w:szCs w:val="20"/>
              </w:rPr>
            </w:pPr>
            <w:r w:rsidRPr="00B43706">
              <w:rPr>
                <w:szCs w:val="20"/>
              </w:rPr>
              <w:t>3222</w:t>
            </w:r>
          </w:p>
        </w:tc>
        <w:tc>
          <w:tcPr>
            <w:tcW w:w="621" w:type="pct"/>
            <w:shd w:val="clear" w:color="auto" w:fill="auto"/>
            <w:noWrap/>
          </w:tcPr>
          <w:p w:rsidR="00B43706" w:rsidRPr="00B43706" w:rsidRDefault="00B43706" w:rsidP="00125504">
            <w:pPr>
              <w:jc w:val="center"/>
              <w:rPr>
                <w:szCs w:val="20"/>
              </w:rPr>
            </w:pPr>
            <w:r w:rsidRPr="00B43706">
              <w:rPr>
                <w:szCs w:val="20"/>
              </w:rPr>
              <w:t>3195</w:t>
            </w:r>
          </w:p>
        </w:tc>
        <w:tc>
          <w:tcPr>
            <w:tcW w:w="559" w:type="pct"/>
            <w:shd w:val="clear" w:color="auto" w:fill="auto"/>
            <w:noWrap/>
          </w:tcPr>
          <w:p w:rsidR="00B43706" w:rsidRPr="00B43706" w:rsidRDefault="00B43706" w:rsidP="00125504">
            <w:pPr>
              <w:jc w:val="center"/>
              <w:rPr>
                <w:szCs w:val="20"/>
              </w:rPr>
            </w:pPr>
            <w:r w:rsidRPr="00B43706">
              <w:rPr>
                <w:szCs w:val="20"/>
              </w:rPr>
              <w:t>3209</w:t>
            </w:r>
          </w:p>
        </w:tc>
        <w:tc>
          <w:tcPr>
            <w:tcW w:w="584" w:type="pct"/>
            <w:shd w:val="clear" w:color="auto" w:fill="auto"/>
            <w:noWrap/>
          </w:tcPr>
          <w:p w:rsidR="00B43706" w:rsidRPr="00B43706" w:rsidRDefault="00B43706" w:rsidP="00125504">
            <w:pPr>
              <w:jc w:val="center"/>
              <w:rPr>
                <w:szCs w:val="20"/>
              </w:rPr>
            </w:pPr>
            <w:r w:rsidRPr="00B43706">
              <w:rPr>
                <w:szCs w:val="20"/>
              </w:rPr>
              <w:t>3249</w:t>
            </w:r>
          </w:p>
        </w:tc>
        <w:tc>
          <w:tcPr>
            <w:tcW w:w="621" w:type="pct"/>
            <w:shd w:val="clear" w:color="auto" w:fill="auto"/>
            <w:noWrap/>
          </w:tcPr>
          <w:p w:rsidR="00B43706" w:rsidRPr="00B43706" w:rsidRDefault="00B43706" w:rsidP="00125504">
            <w:pPr>
              <w:jc w:val="center"/>
              <w:rPr>
                <w:szCs w:val="20"/>
              </w:rPr>
            </w:pPr>
            <w:r w:rsidRPr="00B43706">
              <w:rPr>
                <w:szCs w:val="20"/>
              </w:rPr>
              <w:t>3205</w:t>
            </w:r>
          </w:p>
        </w:tc>
        <w:tc>
          <w:tcPr>
            <w:tcW w:w="560" w:type="pct"/>
            <w:shd w:val="clear" w:color="auto" w:fill="auto"/>
            <w:noWrap/>
          </w:tcPr>
          <w:p w:rsidR="00B43706" w:rsidRPr="00B43706" w:rsidRDefault="00B43706" w:rsidP="00125504">
            <w:pPr>
              <w:jc w:val="center"/>
              <w:rPr>
                <w:szCs w:val="20"/>
              </w:rPr>
            </w:pPr>
            <w:r w:rsidRPr="00B43706">
              <w:rPr>
                <w:szCs w:val="20"/>
              </w:rPr>
              <w:t>3227</w:t>
            </w:r>
          </w:p>
        </w:tc>
      </w:tr>
      <w:tr w:rsidR="00B43706" w:rsidRPr="00B43706" w:rsidTr="00125504">
        <w:trPr>
          <w:trHeight w:val="432"/>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vertAlign w:val="superscript"/>
              </w:rPr>
            </w:pPr>
            <w:r w:rsidRPr="00B43706">
              <w:rPr>
                <w:rFonts w:eastAsia="Times New Roman"/>
                <w:color w:val="000000"/>
                <w:szCs w:val="20"/>
              </w:rPr>
              <w:t xml:space="preserve">RDF+ S </w:t>
            </w:r>
            <w:r w:rsidRPr="00B43706">
              <w:rPr>
                <w:rFonts w:eastAsia="Times New Roman"/>
                <w:color w:val="000000"/>
                <w:szCs w:val="20"/>
                <w:vertAlign w:val="subscript"/>
              </w:rPr>
              <w:t>60</w:t>
            </w:r>
            <w:r w:rsidRPr="00B43706">
              <w:rPr>
                <w:rFonts w:eastAsia="Times New Roman"/>
                <w:color w:val="000000"/>
                <w:szCs w:val="20"/>
              </w:rPr>
              <w:t xml:space="preserve"> kgha</w:t>
            </w:r>
            <w:r w:rsidRPr="00B43706">
              <w:rPr>
                <w:rFonts w:eastAsia="Times New Roman"/>
                <w:color w:val="000000"/>
                <w:szCs w:val="20"/>
                <w:vertAlign w:val="superscript"/>
              </w:rPr>
              <w:t>-1</w:t>
            </w:r>
          </w:p>
        </w:tc>
        <w:tc>
          <w:tcPr>
            <w:tcW w:w="585" w:type="pct"/>
            <w:shd w:val="clear" w:color="auto" w:fill="auto"/>
            <w:noWrap/>
          </w:tcPr>
          <w:p w:rsidR="00B43706" w:rsidRPr="00B43706" w:rsidRDefault="00B43706" w:rsidP="00125504">
            <w:pPr>
              <w:jc w:val="center"/>
              <w:rPr>
                <w:szCs w:val="20"/>
              </w:rPr>
            </w:pPr>
            <w:r w:rsidRPr="00B43706">
              <w:rPr>
                <w:szCs w:val="20"/>
              </w:rPr>
              <w:t>3204</w:t>
            </w:r>
          </w:p>
        </w:tc>
        <w:tc>
          <w:tcPr>
            <w:tcW w:w="621" w:type="pct"/>
            <w:shd w:val="clear" w:color="auto" w:fill="auto"/>
            <w:noWrap/>
          </w:tcPr>
          <w:p w:rsidR="00B43706" w:rsidRPr="00B43706" w:rsidRDefault="00B43706" w:rsidP="00125504">
            <w:pPr>
              <w:jc w:val="center"/>
              <w:rPr>
                <w:szCs w:val="20"/>
              </w:rPr>
            </w:pPr>
            <w:r w:rsidRPr="00B43706">
              <w:rPr>
                <w:szCs w:val="20"/>
              </w:rPr>
              <w:t>3172</w:t>
            </w:r>
          </w:p>
        </w:tc>
        <w:tc>
          <w:tcPr>
            <w:tcW w:w="559" w:type="pct"/>
            <w:shd w:val="clear" w:color="auto" w:fill="auto"/>
            <w:noWrap/>
          </w:tcPr>
          <w:p w:rsidR="00B43706" w:rsidRPr="00B43706" w:rsidRDefault="00B43706" w:rsidP="00125504">
            <w:pPr>
              <w:jc w:val="center"/>
              <w:rPr>
                <w:szCs w:val="20"/>
              </w:rPr>
            </w:pPr>
            <w:r w:rsidRPr="00B43706">
              <w:rPr>
                <w:szCs w:val="20"/>
              </w:rPr>
              <w:t>3188</w:t>
            </w:r>
          </w:p>
        </w:tc>
        <w:tc>
          <w:tcPr>
            <w:tcW w:w="584" w:type="pct"/>
            <w:shd w:val="clear" w:color="auto" w:fill="auto"/>
            <w:noWrap/>
          </w:tcPr>
          <w:p w:rsidR="00B43706" w:rsidRPr="00B43706" w:rsidRDefault="00B43706" w:rsidP="00125504">
            <w:pPr>
              <w:jc w:val="center"/>
              <w:rPr>
                <w:szCs w:val="20"/>
              </w:rPr>
            </w:pPr>
            <w:r w:rsidRPr="00B43706">
              <w:rPr>
                <w:szCs w:val="20"/>
              </w:rPr>
              <w:t>3210</w:t>
            </w:r>
          </w:p>
        </w:tc>
        <w:tc>
          <w:tcPr>
            <w:tcW w:w="621" w:type="pct"/>
            <w:shd w:val="clear" w:color="auto" w:fill="auto"/>
            <w:noWrap/>
          </w:tcPr>
          <w:p w:rsidR="00B43706" w:rsidRPr="00B43706" w:rsidRDefault="00B43706" w:rsidP="00125504">
            <w:pPr>
              <w:jc w:val="center"/>
              <w:rPr>
                <w:szCs w:val="20"/>
              </w:rPr>
            </w:pPr>
            <w:r w:rsidRPr="00B43706">
              <w:rPr>
                <w:szCs w:val="20"/>
              </w:rPr>
              <w:t>3185</w:t>
            </w:r>
          </w:p>
        </w:tc>
        <w:tc>
          <w:tcPr>
            <w:tcW w:w="560" w:type="pct"/>
            <w:shd w:val="clear" w:color="auto" w:fill="auto"/>
            <w:noWrap/>
          </w:tcPr>
          <w:p w:rsidR="00B43706" w:rsidRPr="00B43706" w:rsidRDefault="00B43706" w:rsidP="00125504">
            <w:pPr>
              <w:jc w:val="center"/>
              <w:rPr>
                <w:szCs w:val="20"/>
              </w:rPr>
            </w:pPr>
            <w:r w:rsidRPr="00B43706">
              <w:rPr>
                <w:szCs w:val="20"/>
              </w:rPr>
              <w:t>3198</w:t>
            </w:r>
          </w:p>
        </w:tc>
      </w:tr>
      <w:tr w:rsidR="00B43706" w:rsidRPr="00B43706" w:rsidTr="00125504">
        <w:trPr>
          <w:trHeight w:val="432"/>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rPr>
            </w:pPr>
            <w:r w:rsidRPr="00B43706">
              <w:rPr>
                <w:rFonts w:eastAsia="Times New Roman"/>
                <w:color w:val="000000"/>
                <w:szCs w:val="20"/>
              </w:rPr>
              <w:t>Mean</w:t>
            </w:r>
          </w:p>
        </w:tc>
        <w:tc>
          <w:tcPr>
            <w:tcW w:w="585" w:type="pct"/>
            <w:shd w:val="clear" w:color="auto" w:fill="auto"/>
            <w:noWrap/>
          </w:tcPr>
          <w:p w:rsidR="00B43706" w:rsidRPr="00B43706" w:rsidRDefault="00B43706" w:rsidP="00125504">
            <w:pPr>
              <w:jc w:val="center"/>
              <w:rPr>
                <w:szCs w:val="20"/>
              </w:rPr>
            </w:pPr>
            <w:r w:rsidRPr="00B43706">
              <w:rPr>
                <w:szCs w:val="20"/>
              </w:rPr>
              <w:t>3143</w:t>
            </w:r>
          </w:p>
        </w:tc>
        <w:tc>
          <w:tcPr>
            <w:tcW w:w="621" w:type="pct"/>
            <w:shd w:val="clear" w:color="auto" w:fill="auto"/>
            <w:noWrap/>
          </w:tcPr>
          <w:p w:rsidR="00B43706" w:rsidRPr="00B43706" w:rsidRDefault="00B43706" w:rsidP="00125504">
            <w:pPr>
              <w:jc w:val="center"/>
              <w:rPr>
                <w:szCs w:val="20"/>
              </w:rPr>
            </w:pPr>
            <w:r w:rsidRPr="00B43706">
              <w:rPr>
                <w:szCs w:val="20"/>
              </w:rPr>
              <w:t>3109</w:t>
            </w:r>
          </w:p>
        </w:tc>
        <w:tc>
          <w:tcPr>
            <w:tcW w:w="559" w:type="pct"/>
            <w:shd w:val="clear" w:color="auto" w:fill="auto"/>
            <w:noWrap/>
          </w:tcPr>
          <w:p w:rsidR="00B43706" w:rsidRPr="00B43706" w:rsidRDefault="00B43706" w:rsidP="00125504">
            <w:pPr>
              <w:jc w:val="center"/>
              <w:rPr>
                <w:szCs w:val="20"/>
              </w:rPr>
            </w:pPr>
          </w:p>
        </w:tc>
        <w:tc>
          <w:tcPr>
            <w:tcW w:w="584" w:type="pct"/>
            <w:shd w:val="clear" w:color="auto" w:fill="auto"/>
            <w:noWrap/>
          </w:tcPr>
          <w:p w:rsidR="00B43706" w:rsidRPr="00B43706" w:rsidRDefault="00B43706" w:rsidP="00125504">
            <w:pPr>
              <w:jc w:val="center"/>
              <w:rPr>
                <w:szCs w:val="20"/>
              </w:rPr>
            </w:pPr>
            <w:r w:rsidRPr="00B43706">
              <w:rPr>
                <w:szCs w:val="20"/>
              </w:rPr>
              <w:t>3137</w:t>
            </w:r>
          </w:p>
        </w:tc>
        <w:tc>
          <w:tcPr>
            <w:tcW w:w="621" w:type="pct"/>
            <w:shd w:val="clear" w:color="auto" w:fill="auto"/>
            <w:noWrap/>
          </w:tcPr>
          <w:p w:rsidR="00B43706" w:rsidRPr="00B43706" w:rsidRDefault="00B43706" w:rsidP="00125504">
            <w:pPr>
              <w:jc w:val="center"/>
              <w:rPr>
                <w:szCs w:val="20"/>
              </w:rPr>
            </w:pPr>
            <w:r w:rsidRPr="00B43706">
              <w:rPr>
                <w:szCs w:val="20"/>
              </w:rPr>
              <w:t>3091</w:t>
            </w:r>
          </w:p>
        </w:tc>
        <w:tc>
          <w:tcPr>
            <w:tcW w:w="560" w:type="pct"/>
            <w:shd w:val="clear" w:color="auto" w:fill="auto"/>
            <w:noWrap/>
          </w:tcPr>
          <w:p w:rsidR="00B43706" w:rsidRPr="00B43706" w:rsidRDefault="00B43706" w:rsidP="00125504">
            <w:pPr>
              <w:jc w:val="center"/>
              <w:rPr>
                <w:szCs w:val="20"/>
              </w:rPr>
            </w:pPr>
          </w:p>
        </w:tc>
      </w:tr>
      <w:tr w:rsidR="00B43706" w:rsidRPr="00B43706" w:rsidTr="00125504">
        <w:trPr>
          <w:trHeight w:val="393"/>
        </w:trPr>
        <w:tc>
          <w:tcPr>
            <w:tcW w:w="1470" w:type="pct"/>
            <w:shd w:val="clear" w:color="auto" w:fill="auto"/>
            <w:noWrap/>
            <w:vAlign w:val="center"/>
            <w:hideMark/>
          </w:tcPr>
          <w:p w:rsidR="00B43706" w:rsidRPr="00B43706" w:rsidRDefault="00B43706" w:rsidP="00125504">
            <w:pPr>
              <w:spacing w:after="0"/>
              <w:rPr>
                <w:rFonts w:eastAsia="Times New Roman"/>
                <w:b/>
                <w:color w:val="000000"/>
                <w:szCs w:val="20"/>
              </w:rPr>
            </w:pPr>
          </w:p>
        </w:tc>
        <w:tc>
          <w:tcPr>
            <w:tcW w:w="585" w:type="pct"/>
            <w:shd w:val="clear" w:color="auto" w:fill="auto"/>
            <w:noWrap/>
            <w:vAlign w:val="center"/>
            <w:hideMark/>
          </w:tcPr>
          <w:p w:rsidR="00B43706" w:rsidRPr="00B43706" w:rsidRDefault="00B43706" w:rsidP="00125504">
            <w:pPr>
              <w:pStyle w:val="NoSpacing"/>
              <w:jc w:val="center"/>
              <w:rPr>
                <w:rFonts w:eastAsia="Times New Roman"/>
                <w:b/>
                <w:szCs w:val="20"/>
              </w:rPr>
            </w:pPr>
            <w:r w:rsidRPr="00B43706">
              <w:rPr>
                <w:rFonts w:eastAsia="Times New Roman"/>
                <w:b/>
                <w:szCs w:val="20"/>
              </w:rPr>
              <w:t>SEd</w:t>
            </w:r>
          </w:p>
        </w:tc>
        <w:tc>
          <w:tcPr>
            <w:tcW w:w="621" w:type="pct"/>
            <w:shd w:val="clear" w:color="auto" w:fill="auto"/>
            <w:noWrap/>
            <w:vAlign w:val="center"/>
            <w:hideMark/>
          </w:tcPr>
          <w:p w:rsidR="00B43706" w:rsidRPr="00B43706" w:rsidRDefault="00B43706" w:rsidP="00125504">
            <w:pPr>
              <w:pStyle w:val="NoSpacing"/>
              <w:jc w:val="center"/>
              <w:rPr>
                <w:rFonts w:eastAsia="Times New Roman"/>
                <w:b/>
                <w:szCs w:val="20"/>
              </w:rPr>
            </w:pPr>
            <w:r w:rsidRPr="00B43706">
              <w:rPr>
                <w:rFonts w:eastAsia="Times New Roman"/>
                <w:b/>
                <w:szCs w:val="20"/>
              </w:rPr>
              <w:t>CD</w:t>
            </w:r>
          </w:p>
        </w:tc>
        <w:tc>
          <w:tcPr>
            <w:tcW w:w="559" w:type="pct"/>
            <w:shd w:val="clear" w:color="auto" w:fill="auto"/>
            <w:noWrap/>
            <w:vAlign w:val="center"/>
            <w:hideMark/>
          </w:tcPr>
          <w:p w:rsidR="00B43706" w:rsidRPr="00B43706" w:rsidRDefault="00B43706" w:rsidP="00125504">
            <w:pPr>
              <w:pStyle w:val="NoSpacing"/>
              <w:jc w:val="center"/>
              <w:rPr>
                <w:rFonts w:eastAsia="Times New Roman"/>
                <w:b/>
                <w:szCs w:val="20"/>
              </w:rPr>
            </w:pPr>
          </w:p>
        </w:tc>
        <w:tc>
          <w:tcPr>
            <w:tcW w:w="584" w:type="pct"/>
            <w:shd w:val="clear" w:color="auto" w:fill="auto"/>
            <w:noWrap/>
            <w:vAlign w:val="center"/>
            <w:hideMark/>
          </w:tcPr>
          <w:p w:rsidR="00B43706" w:rsidRPr="00B43706" w:rsidRDefault="00B43706" w:rsidP="00125504">
            <w:pPr>
              <w:pStyle w:val="NoSpacing"/>
              <w:jc w:val="center"/>
              <w:rPr>
                <w:rFonts w:eastAsia="Times New Roman"/>
                <w:b/>
                <w:szCs w:val="20"/>
              </w:rPr>
            </w:pPr>
            <w:r w:rsidRPr="00B43706">
              <w:rPr>
                <w:rFonts w:eastAsia="Times New Roman"/>
                <w:b/>
                <w:szCs w:val="20"/>
              </w:rPr>
              <w:t>SEd</w:t>
            </w:r>
          </w:p>
        </w:tc>
        <w:tc>
          <w:tcPr>
            <w:tcW w:w="621" w:type="pct"/>
            <w:shd w:val="clear" w:color="auto" w:fill="auto"/>
            <w:noWrap/>
            <w:vAlign w:val="center"/>
            <w:hideMark/>
          </w:tcPr>
          <w:p w:rsidR="00B43706" w:rsidRPr="00B43706" w:rsidRDefault="00B43706" w:rsidP="00125504">
            <w:pPr>
              <w:pStyle w:val="NoSpacing"/>
              <w:jc w:val="center"/>
              <w:rPr>
                <w:rFonts w:eastAsia="Times New Roman"/>
                <w:b/>
                <w:szCs w:val="20"/>
              </w:rPr>
            </w:pPr>
            <w:r w:rsidRPr="00B43706">
              <w:rPr>
                <w:rFonts w:eastAsia="Times New Roman"/>
                <w:b/>
                <w:szCs w:val="20"/>
              </w:rPr>
              <w:t>CD</w:t>
            </w:r>
          </w:p>
        </w:tc>
        <w:tc>
          <w:tcPr>
            <w:tcW w:w="560" w:type="pct"/>
            <w:shd w:val="clear" w:color="auto" w:fill="auto"/>
            <w:noWrap/>
            <w:vAlign w:val="center"/>
            <w:hideMark/>
          </w:tcPr>
          <w:p w:rsidR="00B43706" w:rsidRPr="00B43706" w:rsidRDefault="00B43706" w:rsidP="00125504">
            <w:pPr>
              <w:pStyle w:val="NoSpacing"/>
              <w:jc w:val="center"/>
              <w:rPr>
                <w:rFonts w:eastAsia="Times New Roman"/>
                <w:szCs w:val="20"/>
              </w:rPr>
            </w:pPr>
          </w:p>
        </w:tc>
      </w:tr>
      <w:tr w:rsidR="00B43706" w:rsidRPr="00B43706" w:rsidTr="00125504">
        <w:trPr>
          <w:trHeight w:val="393"/>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rPr>
            </w:pPr>
            <w:r w:rsidRPr="00B43706">
              <w:rPr>
                <w:rFonts w:eastAsia="Times New Roman"/>
                <w:color w:val="000000"/>
                <w:szCs w:val="20"/>
              </w:rPr>
              <w:t>V</w:t>
            </w:r>
          </w:p>
        </w:tc>
        <w:tc>
          <w:tcPr>
            <w:tcW w:w="585"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33.67</w:t>
            </w:r>
          </w:p>
        </w:tc>
        <w:tc>
          <w:tcPr>
            <w:tcW w:w="621"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144.86</w:t>
            </w:r>
          </w:p>
        </w:tc>
        <w:tc>
          <w:tcPr>
            <w:tcW w:w="559" w:type="pct"/>
            <w:shd w:val="clear" w:color="auto" w:fill="auto"/>
            <w:noWrap/>
            <w:vAlign w:val="center"/>
          </w:tcPr>
          <w:p w:rsidR="00B43706" w:rsidRPr="00B43706" w:rsidRDefault="00B43706" w:rsidP="00125504">
            <w:pPr>
              <w:pStyle w:val="NoSpacing"/>
              <w:jc w:val="center"/>
              <w:rPr>
                <w:rFonts w:eastAsia="Times New Roman"/>
                <w:szCs w:val="20"/>
              </w:rPr>
            </w:pPr>
          </w:p>
        </w:tc>
        <w:tc>
          <w:tcPr>
            <w:tcW w:w="584"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25.50</w:t>
            </w:r>
          </w:p>
        </w:tc>
        <w:tc>
          <w:tcPr>
            <w:tcW w:w="621"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109.72</w:t>
            </w:r>
          </w:p>
        </w:tc>
        <w:tc>
          <w:tcPr>
            <w:tcW w:w="560" w:type="pct"/>
            <w:shd w:val="clear" w:color="auto" w:fill="auto"/>
            <w:noWrap/>
            <w:vAlign w:val="center"/>
          </w:tcPr>
          <w:p w:rsidR="00B43706" w:rsidRPr="00B43706" w:rsidRDefault="00B43706" w:rsidP="00125504">
            <w:pPr>
              <w:pStyle w:val="NoSpacing"/>
              <w:jc w:val="center"/>
              <w:rPr>
                <w:rFonts w:eastAsia="Times New Roman"/>
                <w:szCs w:val="20"/>
              </w:rPr>
            </w:pPr>
          </w:p>
        </w:tc>
      </w:tr>
      <w:tr w:rsidR="00B43706" w:rsidRPr="00B43706" w:rsidTr="00125504">
        <w:trPr>
          <w:trHeight w:val="393"/>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rPr>
            </w:pPr>
            <w:r w:rsidRPr="00B43706">
              <w:rPr>
                <w:rFonts w:eastAsia="Times New Roman"/>
                <w:color w:val="000000"/>
                <w:szCs w:val="20"/>
              </w:rPr>
              <w:t>T</w:t>
            </w:r>
          </w:p>
        </w:tc>
        <w:tc>
          <w:tcPr>
            <w:tcW w:w="585"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54.97</w:t>
            </w:r>
          </w:p>
        </w:tc>
        <w:tc>
          <w:tcPr>
            <w:tcW w:w="621"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113.45</w:t>
            </w:r>
          </w:p>
        </w:tc>
        <w:tc>
          <w:tcPr>
            <w:tcW w:w="559" w:type="pct"/>
            <w:shd w:val="clear" w:color="auto" w:fill="auto"/>
            <w:noWrap/>
            <w:vAlign w:val="center"/>
          </w:tcPr>
          <w:p w:rsidR="00B43706" w:rsidRPr="00B43706" w:rsidRDefault="00B43706" w:rsidP="00125504">
            <w:pPr>
              <w:pStyle w:val="NoSpacing"/>
              <w:jc w:val="center"/>
              <w:rPr>
                <w:rFonts w:eastAsia="Times New Roman"/>
                <w:szCs w:val="20"/>
              </w:rPr>
            </w:pPr>
          </w:p>
        </w:tc>
        <w:tc>
          <w:tcPr>
            <w:tcW w:w="584"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57.40</w:t>
            </w:r>
          </w:p>
        </w:tc>
        <w:tc>
          <w:tcPr>
            <w:tcW w:w="621"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118.46</w:t>
            </w:r>
          </w:p>
        </w:tc>
        <w:tc>
          <w:tcPr>
            <w:tcW w:w="560" w:type="pct"/>
            <w:shd w:val="clear" w:color="auto" w:fill="auto"/>
            <w:noWrap/>
            <w:vAlign w:val="center"/>
          </w:tcPr>
          <w:p w:rsidR="00B43706" w:rsidRPr="00B43706" w:rsidRDefault="00B43706" w:rsidP="00125504">
            <w:pPr>
              <w:pStyle w:val="NoSpacing"/>
              <w:jc w:val="center"/>
              <w:rPr>
                <w:rFonts w:eastAsia="Times New Roman"/>
                <w:szCs w:val="20"/>
              </w:rPr>
            </w:pPr>
          </w:p>
        </w:tc>
      </w:tr>
      <w:tr w:rsidR="00B43706" w:rsidRPr="00B43706" w:rsidTr="00125504">
        <w:trPr>
          <w:trHeight w:val="393"/>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rPr>
            </w:pPr>
            <w:r w:rsidRPr="00B43706">
              <w:rPr>
                <w:rFonts w:eastAsia="Times New Roman"/>
                <w:color w:val="000000"/>
                <w:szCs w:val="20"/>
              </w:rPr>
              <w:t>V at T</w:t>
            </w:r>
          </w:p>
        </w:tc>
        <w:tc>
          <w:tcPr>
            <w:tcW w:w="585"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79.45</w:t>
            </w:r>
          </w:p>
        </w:tc>
        <w:tc>
          <w:tcPr>
            <w:tcW w:w="621"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195.92</w:t>
            </w:r>
          </w:p>
        </w:tc>
        <w:tc>
          <w:tcPr>
            <w:tcW w:w="559" w:type="pct"/>
            <w:shd w:val="clear" w:color="auto" w:fill="auto"/>
            <w:noWrap/>
            <w:vAlign w:val="center"/>
          </w:tcPr>
          <w:p w:rsidR="00B43706" w:rsidRPr="00B43706" w:rsidRDefault="00B43706" w:rsidP="00125504">
            <w:pPr>
              <w:pStyle w:val="NoSpacing"/>
              <w:jc w:val="center"/>
              <w:rPr>
                <w:rFonts w:eastAsia="Times New Roman"/>
                <w:szCs w:val="20"/>
              </w:rPr>
            </w:pPr>
          </w:p>
        </w:tc>
        <w:tc>
          <w:tcPr>
            <w:tcW w:w="584"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79.36</w:t>
            </w:r>
          </w:p>
        </w:tc>
        <w:tc>
          <w:tcPr>
            <w:tcW w:w="621"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182.14</w:t>
            </w:r>
          </w:p>
        </w:tc>
        <w:tc>
          <w:tcPr>
            <w:tcW w:w="560" w:type="pct"/>
            <w:shd w:val="clear" w:color="auto" w:fill="auto"/>
            <w:noWrap/>
            <w:vAlign w:val="center"/>
          </w:tcPr>
          <w:p w:rsidR="00B43706" w:rsidRPr="00B43706" w:rsidRDefault="00B43706" w:rsidP="00125504">
            <w:pPr>
              <w:pStyle w:val="NoSpacing"/>
              <w:jc w:val="center"/>
              <w:rPr>
                <w:rFonts w:eastAsia="Times New Roman"/>
                <w:szCs w:val="20"/>
              </w:rPr>
            </w:pPr>
          </w:p>
        </w:tc>
      </w:tr>
      <w:tr w:rsidR="00B43706" w:rsidRPr="00B43706" w:rsidTr="00125504">
        <w:trPr>
          <w:trHeight w:val="393"/>
        </w:trPr>
        <w:tc>
          <w:tcPr>
            <w:tcW w:w="1470" w:type="pct"/>
            <w:shd w:val="clear" w:color="auto" w:fill="auto"/>
            <w:noWrap/>
            <w:vAlign w:val="center"/>
            <w:hideMark/>
          </w:tcPr>
          <w:p w:rsidR="00B43706" w:rsidRPr="00B43706" w:rsidRDefault="00B43706" w:rsidP="00125504">
            <w:pPr>
              <w:spacing w:after="0"/>
              <w:rPr>
                <w:rFonts w:eastAsia="Times New Roman"/>
                <w:color w:val="000000"/>
                <w:szCs w:val="20"/>
              </w:rPr>
            </w:pPr>
            <w:r w:rsidRPr="00B43706">
              <w:rPr>
                <w:rFonts w:eastAsia="Times New Roman"/>
                <w:color w:val="000000"/>
                <w:szCs w:val="20"/>
              </w:rPr>
              <w:t>T at V</w:t>
            </w:r>
          </w:p>
        </w:tc>
        <w:tc>
          <w:tcPr>
            <w:tcW w:w="585"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77.73</w:t>
            </w:r>
          </w:p>
        </w:tc>
        <w:tc>
          <w:tcPr>
            <w:tcW w:w="621"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160.43</w:t>
            </w:r>
          </w:p>
        </w:tc>
        <w:tc>
          <w:tcPr>
            <w:tcW w:w="559" w:type="pct"/>
            <w:shd w:val="clear" w:color="auto" w:fill="auto"/>
            <w:noWrap/>
            <w:vAlign w:val="center"/>
          </w:tcPr>
          <w:p w:rsidR="00B43706" w:rsidRPr="00B43706" w:rsidRDefault="00B43706" w:rsidP="00125504">
            <w:pPr>
              <w:pStyle w:val="NoSpacing"/>
              <w:jc w:val="center"/>
              <w:rPr>
                <w:rFonts w:eastAsia="Times New Roman"/>
                <w:szCs w:val="20"/>
              </w:rPr>
            </w:pPr>
          </w:p>
        </w:tc>
        <w:tc>
          <w:tcPr>
            <w:tcW w:w="584"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81.17</w:t>
            </w:r>
          </w:p>
        </w:tc>
        <w:tc>
          <w:tcPr>
            <w:tcW w:w="621" w:type="pct"/>
            <w:shd w:val="clear" w:color="auto" w:fill="auto"/>
            <w:noWrap/>
            <w:vAlign w:val="center"/>
          </w:tcPr>
          <w:p w:rsidR="00B43706" w:rsidRPr="00B43706" w:rsidRDefault="00B43706" w:rsidP="00125504">
            <w:pPr>
              <w:pStyle w:val="NoSpacing"/>
              <w:jc w:val="center"/>
              <w:rPr>
                <w:rFonts w:eastAsia="Times New Roman"/>
                <w:szCs w:val="20"/>
              </w:rPr>
            </w:pPr>
            <w:r w:rsidRPr="00B43706">
              <w:rPr>
                <w:rFonts w:eastAsia="Times New Roman"/>
                <w:szCs w:val="20"/>
              </w:rPr>
              <w:t>167.54</w:t>
            </w:r>
          </w:p>
        </w:tc>
        <w:tc>
          <w:tcPr>
            <w:tcW w:w="560" w:type="pct"/>
            <w:shd w:val="clear" w:color="auto" w:fill="auto"/>
            <w:noWrap/>
            <w:vAlign w:val="center"/>
          </w:tcPr>
          <w:p w:rsidR="00B43706" w:rsidRPr="00B43706" w:rsidRDefault="00B43706" w:rsidP="00125504">
            <w:pPr>
              <w:pStyle w:val="NoSpacing"/>
              <w:jc w:val="center"/>
              <w:rPr>
                <w:rFonts w:eastAsia="Times New Roman"/>
                <w:szCs w:val="20"/>
              </w:rPr>
            </w:pPr>
          </w:p>
        </w:tc>
      </w:tr>
    </w:tbl>
    <w:p w:rsidR="00B43706" w:rsidRPr="00B43706" w:rsidRDefault="00B43706" w:rsidP="00757CC1">
      <w:pPr>
        <w:rPr>
          <w:szCs w:val="20"/>
        </w:rPr>
      </w:pPr>
    </w:p>
    <w:p w:rsidR="00B43706" w:rsidRP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Default="00B43706" w:rsidP="00B43706">
      <w:pPr>
        <w:spacing w:after="0"/>
        <w:jc w:val="left"/>
        <w:rPr>
          <w:b/>
          <w:szCs w:val="20"/>
        </w:rPr>
      </w:pPr>
    </w:p>
    <w:p w:rsidR="00B43706" w:rsidRDefault="00B43706" w:rsidP="00B43706">
      <w:pPr>
        <w:spacing w:after="0"/>
        <w:jc w:val="left"/>
        <w:rPr>
          <w:b/>
          <w:szCs w:val="20"/>
        </w:rPr>
      </w:pPr>
    </w:p>
    <w:p w:rsidR="00B43706" w:rsidRDefault="00B43706" w:rsidP="00B43706">
      <w:pPr>
        <w:spacing w:after="0"/>
        <w:jc w:val="left"/>
        <w:rPr>
          <w:b/>
          <w:szCs w:val="20"/>
        </w:rPr>
      </w:pPr>
    </w:p>
    <w:p w:rsidR="00B43706" w:rsidRDefault="00B43706" w:rsidP="00B43706">
      <w:pPr>
        <w:spacing w:after="0"/>
        <w:jc w:val="left"/>
        <w:rPr>
          <w:b/>
          <w:szCs w:val="20"/>
        </w:rPr>
      </w:pPr>
    </w:p>
    <w:p w:rsid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Pr="00B43706" w:rsidRDefault="00B43706" w:rsidP="00B43706">
      <w:pPr>
        <w:spacing w:after="0"/>
        <w:jc w:val="left"/>
        <w:rPr>
          <w:b/>
          <w:szCs w:val="20"/>
        </w:rPr>
      </w:pPr>
    </w:p>
    <w:p w:rsidR="00B43706" w:rsidRPr="00B43706" w:rsidRDefault="00B43706" w:rsidP="00B43706">
      <w:pPr>
        <w:spacing w:after="0"/>
        <w:jc w:val="left"/>
        <w:rPr>
          <w:b/>
          <w:szCs w:val="20"/>
        </w:rPr>
      </w:pPr>
      <w:r w:rsidRPr="00B43706">
        <w:rPr>
          <w:b/>
          <w:szCs w:val="20"/>
        </w:rPr>
        <w:lastRenderedPageBreak/>
        <w:t>Fig. 1: Effect of graded levels of sulphur application on oil content</w:t>
      </w:r>
    </w:p>
    <w:p w:rsidR="00B43706" w:rsidRDefault="00B43706" w:rsidP="00757CC1">
      <w:pPr>
        <w:rPr>
          <w:noProof/>
          <w:sz w:val="24"/>
          <w:szCs w:val="24"/>
        </w:rPr>
      </w:pPr>
    </w:p>
    <w:p w:rsidR="00B43706" w:rsidRDefault="0031448C" w:rsidP="00757CC1">
      <w:pPr>
        <w:rPr>
          <w:noProof/>
          <w:sz w:val="24"/>
          <w:szCs w:val="24"/>
        </w:rPr>
      </w:pPr>
      <w:r>
        <w:rPr>
          <w:noProof/>
          <w:sz w:val="24"/>
          <w:szCs w:val="24"/>
        </w:rPr>
        <w:drawing>
          <wp:inline distT="0" distB="0" distL="0" distR="0">
            <wp:extent cx="4572506" cy="2743706"/>
            <wp:effectExtent l="6097" t="6097" r="6097" b="6097"/>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43706" w:rsidRDefault="00B43706" w:rsidP="00757CC1">
      <w:pPr>
        <w:rPr>
          <w:noProof/>
          <w:sz w:val="24"/>
          <w:szCs w:val="24"/>
        </w:rPr>
      </w:pPr>
    </w:p>
    <w:p w:rsidR="00B43706" w:rsidRPr="00B43706" w:rsidRDefault="00B43706" w:rsidP="00B43706">
      <w:pPr>
        <w:spacing w:after="0"/>
        <w:rPr>
          <w:b/>
          <w:szCs w:val="20"/>
        </w:rPr>
      </w:pPr>
      <w:r w:rsidRPr="00B43706">
        <w:rPr>
          <w:b/>
          <w:szCs w:val="20"/>
        </w:rPr>
        <w:t>Fig. 2: Effect of graded levels of sulphur application on biological yield</w:t>
      </w:r>
    </w:p>
    <w:p w:rsidR="00B43706" w:rsidRPr="00D14D38" w:rsidRDefault="00B43706" w:rsidP="00B43706">
      <w:pPr>
        <w:spacing w:after="0"/>
        <w:jc w:val="left"/>
        <w:rPr>
          <w:b/>
          <w:sz w:val="24"/>
          <w:szCs w:val="24"/>
        </w:rPr>
      </w:pPr>
    </w:p>
    <w:p w:rsidR="00B43706" w:rsidRDefault="0031448C" w:rsidP="000D652A">
      <w:pPr>
        <w:pStyle w:val="Heading2"/>
        <w:rPr>
          <w:noProof/>
          <w:sz w:val="24"/>
          <w:szCs w:val="24"/>
        </w:rPr>
      </w:pPr>
      <w:r>
        <w:rPr>
          <w:noProof/>
          <w:sz w:val="24"/>
          <w:szCs w:val="24"/>
        </w:rPr>
        <w:drawing>
          <wp:inline distT="0" distB="0" distL="0" distR="0">
            <wp:extent cx="4572506" cy="2743706"/>
            <wp:effectExtent l="6097" t="6097" r="6097" b="6097"/>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3706" w:rsidRPr="00B43706" w:rsidRDefault="00B43706" w:rsidP="00B43706"/>
    <w:p w:rsidR="000D652A" w:rsidRPr="007C7243" w:rsidRDefault="000D652A" w:rsidP="000D652A">
      <w:pPr>
        <w:pStyle w:val="Heading2"/>
        <w:rPr>
          <w:color w:val="auto"/>
        </w:rPr>
      </w:pPr>
      <w:r w:rsidRPr="007C7243">
        <w:rPr>
          <w:color w:val="auto"/>
        </w:rPr>
        <w:t xml:space="preserve">CONCLUSION </w:t>
      </w:r>
    </w:p>
    <w:p w:rsidR="006819B1" w:rsidRPr="006819B1" w:rsidRDefault="006819B1" w:rsidP="006819B1">
      <w:pPr>
        <w:tabs>
          <w:tab w:val="left" w:pos="825"/>
        </w:tabs>
        <w:spacing w:after="0"/>
        <w:rPr>
          <w:rFonts w:cs="Arial"/>
          <w:szCs w:val="20"/>
        </w:rPr>
      </w:pPr>
      <w:r w:rsidRPr="006819B1">
        <w:rPr>
          <w:rFonts w:cs="Arial"/>
          <w:szCs w:val="20"/>
        </w:rPr>
        <w:t>Based on the experiment conducted at two different soil sulphur status with two different sesamum varieties it is concluded that TMV 7 proves to be better responding variety than that of SVPR 1 by applying sulphur @ 30 and 50 kg ha</w:t>
      </w:r>
      <w:r w:rsidRPr="006819B1">
        <w:rPr>
          <w:rFonts w:cs="Arial"/>
          <w:szCs w:val="20"/>
          <w:vertAlign w:val="superscript"/>
        </w:rPr>
        <w:t>-1</w:t>
      </w:r>
      <w:r w:rsidRPr="006819B1">
        <w:rPr>
          <w:rFonts w:cs="Arial"/>
          <w:szCs w:val="20"/>
        </w:rPr>
        <w:t xml:space="preserve"> at sulphur sufficient and deficient soils. The results indicated that supplementation of sulphur nutrition </w:t>
      </w:r>
      <w:ins w:id="59" w:author="admin" w:date="2021-01-26T07:52:00Z">
        <w:r w:rsidR="00C33205">
          <w:rPr>
            <w:rFonts w:cs="Arial"/>
            <w:szCs w:val="20"/>
          </w:rPr>
          <w:t xml:space="preserve">to sesamum </w:t>
        </w:r>
      </w:ins>
      <w:r w:rsidRPr="006819B1">
        <w:rPr>
          <w:rFonts w:cs="Arial"/>
          <w:szCs w:val="20"/>
        </w:rPr>
        <w:t xml:space="preserve">in sulphur deficient soil proven to be </w:t>
      </w:r>
      <w:del w:id="60" w:author="admin" w:date="2021-01-26T07:53:00Z">
        <w:r w:rsidRPr="006819B1" w:rsidDel="00C33205">
          <w:rPr>
            <w:rFonts w:cs="Arial"/>
            <w:szCs w:val="20"/>
          </w:rPr>
          <w:delText>responding better</w:delText>
        </w:r>
      </w:del>
      <w:ins w:id="61" w:author="admin" w:date="2021-01-26T07:53:00Z">
        <w:r w:rsidR="00C33205">
          <w:rPr>
            <w:rFonts w:cs="Arial"/>
            <w:szCs w:val="20"/>
          </w:rPr>
          <w:t>a boon</w:t>
        </w:r>
      </w:ins>
      <w:r w:rsidRPr="006819B1">
        <w:rPr>
          <w:rFonts w:cs="Arial"/>
          <w:szCs w:val="20"/>
        </w:rPr>
        <w:t xml:space="preserve"> for the </w:t>
      </w:r>
      <w:ins w:id="62" w:author="admin" w:date="2021-01-26T07:53:00Z">
        <w:r w:rsidR="005F324B">
          <w:rPr>
            <w:rFonts w:cs="Arial"/>
            <w:szCs w:val="20"/>
          </w:rPr>
          <w:t xml:space="preserve">increased </w:t>
        </w:r>
      </w:ins>
      <w:r w:rsidRPr="006819B1">
        <w:rPr>
          <w:rFonts w:cs="Arial"/>
          <w:szCs w:val="20"/>
        </w:rPr>
        <w:t xml:space="preserve">growth and </w:t>
      </w:r>
      <w:ins w:id="63" w:author="admin" w:date="2021-01-26T07:54:00Z">
        <w:r w:rsidR="005F324B">
          <w:rPr>
            <w:rFonts w:cs="Arial"/>
            <w:szCs w:val="20"/>
          </w:rPr>
          <w:t xml:space="preserve">yield </w:t>
        </w:r>
      </w:ins>
      <w:del w:id="64" w:author="admin" w:date="2021-01-26T07:54:00Z">
        <w:r w:rsidRPr="006819B1" w:rsidDel="005F324B">
          <w:rPr>
            <w:rFonts w:cs="Arial"/>
            <w:szCs w:val="20"/>
          </w:rPr>
          <w:delText>d</w:delText>
        </w:r>
      </w:del>
      <w:del w:id="65" w:author="admin" w:date="2021-01-26T07:53:00Z">
        <w:r w:rsidRPr="006819B1" w:rsidDel="005F324B">
          <w:rPr>
            <w:rFonts w:cs="Arial"/>
            <w:szCs w:val="20"/>
          </w:rPr>
          <w:delText>evelopmen</w:delText>
        </w:r>
      </w:del>
      <w:r w:rsidRPr="006819B1">
        <w:rPr>
          <w:rFonts w:cs="Arial"/>
          <w:szCs w:val="20"/>
        </w:rPr>
        <w:t xml:space="preserve">t of sesamum crop. </w:t>
      </w:r>
    </w:p>
    <w:p w:rsidR="006819B1" w:rsidRDefault="006819B1" w:rsidP="000D652A">
      <w:pPr>
        <w:pStyle w:val="Heading2"/>
        <w:rPr>
          <w:color w:val="auto"/>
        </w:rPr>
      </w:pPr>
    </w:p>
    <w:p w:rsidR="000D652A" w:rsidRDefault="000D652A" w:rsidP="000D652A">
      <w:pPr>
        <w:pStyle w:val="Heading2"/>
        <w:rPr>
          <w:color w:val="auto"/>
        </w:rPr>
      </w:pPr>
      <w:r w:rsidRPr="007C7243">
        <w:rPr>
          <w:color w:val="auto"/>
        </w:rPr>
        <w:t>REFERENCES</w:t>
      </w:r>
    </w:p>
    <w:p w:rsidR="006819B1" w:rsidRPr="006819B1" w:rsidRDefault="006819B1" w:rsidP="006819B1">
      <w:pPr>
        <w:spacing w:after="0" w:line="360" w:lineRule="auto"/>
        <w:ind w:left="720" w:hanging="720"/>
        <w:rPr>
          <w:szCs w:val="20"/>
        </w:rPr>
      </w:pPr>
      <w:r w:rsidRPr="006819B1">
        <w:rPr>
          <w:szCs w:val="20"/>
        </w:rPr>
        <w:t>Luna RK. How India can reap demographic dividend. The Tribune. 2001;131(103):11.</w:t>
      </w:r>
    </w:p>
    <w:p w:rsidR="006819B1" w:rsidRPr="006819B1" w:rsidRDefault="006819B1" w:rsidP="006819B1">
      <w:pPr>
        <w:spacing w:after="0" w:line="360" w:lineRule="auto"/>
        <w:ind w:left="720" w:hanging="720"/>
        <w:rPr>
          <w:szCs w:val="20"/>
        </w:rPr>
      </w:pPr>
      <w:r w:rsidRPr="006819B1">
        <w:rPr>
          <w:szCs w:val="20"/>
        </w:rPr>
        <w:t>Gupta MP. Challenges of food security. The Daily Excelsior. 2014 ; 50(77):6.</w:t>
      </w:r>
    </w:p>
    <w:p w:rsidR="006819B1" w:rsidRPr="006819B1" w:rsidRDefault="006819B1" w:rsidP="006819B1">
      <w:pPr>
        <w:spacing w:after="0" w:line="360" w:lineRule="auto"/>
        <w:ind w:left="720" w:hanging="720"/>
        <w:rPr>
          <w:szCs w:val="20"/>
        </w:rPr>
      </w:pPr>
      <w:r w:rsidRPr="006819B1">
        <w:rPr>
          <w:szCs w:val="20"/>
        </w:rPr>
        <w:lastRenderedPageBreak/>
        <w:t>Uzun B, Arslan C, Furat S. Variation in fatty acid compositions, oil content and oil yield in a germplasm collection of sesame (</w:t>
      </w:r>
      <w:r w:rsidRPr="006819B1">
        <w:rPr>
          <w:i/>
          <w:iCs/>
          <w:szCs w:val="20"/>
        </w:rPr>
        <w:t>Sesamum indicum</w:t>
      </w:r>
      <w:r w:rsidRPr="006819B1">
        <w:rPr>
          <w:szCs w:val="20"/>
        </w:rPr>
        <w:t xml:space="preserve"> L.) J Am Oil Chem Soc. 2008; 85:1135–1142. </w:t>
      </w:r>
    </w:p>
    <w:p w:rsidR="006819B1" w:rsidRPr="006819B1" w:rsidRDefault="006819B1" w:rsidP="006819B1">
      <w:pPr>
        <w:spacing w:after="0" w:line="360" w:lineRule="auto"/>
        <w:ind w:left="720" w:hanging="720"/>
        <w:rPr>
          <w:szCs w:val="20"/>
        </w:rPr>
      </w:pPr>
      <w:r w:rsidRPr="006819B1">
        <w:rPr>
          <w:szCs w:val="20"/>
        </w:rPr>
        <w:t xml:space="preserve">Scherer HW. </w:t>
      </w:r>
      <w:bookmarkStart w:id="66" w:name="144729_ja"/>
      <w:bookmarkEnd w:id="66"/>
      <w:r w:rsidRPr="006819B1">
        <w:rPr>
          <w:szCs w:val="20"/>
        </w:rPr>
        <w:t>Sulphur in crop production. Eur. J. Agron. 2001; 14:81-111.</w:t>
      </w:r>
    </w:p>
    <w:p w:rsidR="006819B1" w:rsidRPr="006819B1" w:rsidRDefault="006819B1" w:rsidP="006819B1">
      <w:pPr>
        <w:spacing w:after="0" w:line="360" w:lineRule="auto"/>
        <w:ind w:left="720" w:hanging="720"/>
        <w:rPr>
          <w:szCs w:val="20"/>
        </w:rPr>
      </w:pPr>
      <w:r w:rsidRPr="006819B1">
        <w:rPr>
          <w:szCs w:val="20"/>
        </w:rPr>
        <w:t xml:space="preserve">Singh A, Singh SP, Katiyar RS, Singh PP. </w:t>
      </w:r>
      <w:bookmarkStart w:id="67" w:name="144692_ja"/>
      <w:bookmarkEnd w:id="67"/>
      <w:r w:rsidRPr="006819B1">
        <w:rPr>
          <w:szCs w:val="20"/>
        </w:rPr>
        <w:t>Response of nitrogen and sulphur on economic yield of sunflower under sodic soil condition. Indian J. Agric. Sci. 2000; 70:536-537.</w:t>
      </w:r>
    </w:p>
    <w:p w:rsidR="006819B1" w:rsidRPr="006819B1" w:rsidRDefault="006819B1" w:rsidP="006819B1">
      <w:pPr>
        <w:spacing w:after="0" w:line="360" w:lineRule="auto"/>
        <w:ind w:left="720" w:hanging="720"/>
        <w:rPr>
          <w:szCs w:val="20"/>
        </w:rPr>
      </w:pPr>
      <w:r w:rsidRPr="006819B1">
        <w:rPr>
          <w:szCs w:val="20"/>
        </w:rPr>
        <w:t xml:space="preserve">Shamina, Imamul. </w:t>
      </w:r>
      <w:bookmarkStart w:id="68" w:name="144730_ja"/>
      <w:bookmarkEnd w:id="68"/>
      <w:r w:rsidRPr="006819B1">
        <w:rPr>
          <w:szCs w:val="20"/>
        </w:rPr>
        <w:t>Mineralization pattern of added sulphur in some Bangladesh soils under submerged condition. Indian J. Agric. Chem. 2003; 36:13-21.</w:t>
      </w:r>
    </w:p>
    <w:p w:rsidR="006819B1" w:rsidRPr="006819B1" w:rsidRDefault="006819B1" w:rsidP="006819B1">
      <w:pPr>
        <w:spacing w:after="0" w:line="360" w:lineRule="auto"/>
        <w:ind w:left="720" w:hanging="720"/>
        <w:rPr>
          <w:szCs w:val="20"/>
        </w:rPr>
      </w:pPr>
      <w:r w:rsidRPr="006819B1">
        <w:rPr>
          <w:szCs w:val="20"/>
        </w:rPr>
        <w:t xml:space="preserve">Jaggi R, Rakesh C, Sharma K, Paliyal SS. </w:t>
      </w:r>
      <w:bookmarkStart w:id="69" w:name="144721_ja"/>
      <w:bookmarkEnd w:id="69"/>
      <w:r w:rsidRPr="006819B1">
        <w:rPr>
          <w:szCs w:val="20"/>
        </w:rPr>
        <w:t>Sulphur as second major nutrient in cruciferous oilseeds. Indian Farming. 2000; 12:14-18.</w:t>
      </w:r>
    </w:p>
    <w:p w:rsidR="006819B1" w:rsidRPr="006819B1" w:rsidRDefault="006819B1" w:rsidP="006819B1">
      <w:pPr>
        <w:spacing w:after="0" w:line="360" w:lineRule="auto"/>
        <w:ind w:left="720" w:hanging="720"/>
        <w:rPr>
          <w:szCs w:val="20"/>
        </w:rPr>
      </w:pPr>
      <w:r w:rsidRPr="006819B1">
        <w:rPr>
          <w:szCs w:val="20"/>
        </w:rPr>
        <w:t xml:space="preserve">Thirumalaisamy K, Srinivasan PS, Pangarusamy U, Thangaraj M, Mallika V, Kannaiyan S. </w:t>
      </w:r>
      <w:bookmarkStart w:id="70" w:name="12172_b"/>
      <w:bookmarkEnd w:id="70"/>
      <w:r w:rsidRPr="006819B1">
        <w:rPr>
          <w:szCs w:val="20"/>
        </w:rPr>
        <w:t>Nutrient deficiency and remedial management in crops. 1</w:t>
      </w:r>
      <w:r w:rsidRPr="006819B1">
        <w:rPr>
          <w:szCs w:val="20"/>
          <w:vertAlign w:val="superscript"/>
        </w:rPr>
        <w:t>st</w:t>
      </w:r>
      <w:r w:rsidRPr="006819B1">
        <w:rPr>
          <w:szCs w:val="20"/>
        </w:rPr>
        <w:t xml:space="preserve"> Edn., Sigar Graphics Pub. Coimbatore, London. 2001; 10-11.</w:t>
      </w:r>
    </w:p>
    <w:p w:rsidR="006819B1" w:rsidRPr="006819B1" w:rsidRDefault="006819B1" w:rsidP="006819B1">
      <w:pPr>
        <w:spacing w:after="0" w:line="360" w:lineRule="auto"/>
        <w:ind w:left="720" w:hanging="720"/>
        <w:rPr>
          <w:szCs w:val="20"/>
        </w:rPr>
      </w:pPr>
      <w:r w:rsidRPr="006819B1">
        <w:rPr>
          <w:szCs w:val="20"/>
        </w:rPr>
        <w:t xml:space="preserve">Haneklaus S, Paulsen HM, Gupta AK, Bloem E, Schnug E. Influence of sulphur fertilization on yield and quality of oilseed and mustard. In: </w:t>
      </w:r>
      <w:r w:rsidRPr="006819B1">
        <w:rPr>
          <w:iCs/>
          <w:szCs w:val="20"/>
        </w:rPr>
        <w:t>Proc. 10</w:t>
      </w:r>
      <w:r w:rsidRPr="006819B1">
        <w:rPr>
          <w:iCs/>
          <w:szCs w:val="20"/>
          <w:vertAlign w:val="superscript"/>
        </w:rPr>
        <w:t>th</w:t>
      </w:r>
      <w:r w:rsidRPr="006819B1">
        <w:rPr>
          <w:iCs/>
          <w:szCs w:val="20"/>
        </w:rPr>
        <w:t xml:space="preserve"> Int. Rapeseed Cong., Canberra, Australia; 1999.</w:t>
      </w:r>
      <w:r w:rsidRPr="006819B1">
        <w:rPr>
          <w:i/>
          <w:iCs/>
          <w:szCs w:val="20"/>
        </w:rPr>
        <w:t xml:space="preserve"> </w:t>
      </w:r>
    </w:p>
    <w:p w:rsidR="006819B1" w:rsidRPr="006819B1" w:rsidRDefault="006819B1" w:rsidP="006819B1">
      <w:pPr>
        <w:spacing w:after="0" w:line="360" w:lineRule="auto"/>
        <w:ind w:left="720" w:hanging="720"/>
        <w:rPr>
          <w:szCs w:val="20"/>
        </w:rPr>
      </w:pPr>
      <w:r w:rsidRPr="006819B1">
        <w:rPr>
          <w:szCs w:val="20"/>
        </w:rPr>
        <w:t xml:space="preserve">Egesel, Kemal Gül M, Fatih Kahr Âman. </w:t>
      </w:r>
      <w:r w:rsidRPr="006819B1">
        <w:rPr>
          <w:rFonts w:eastAsia="Times New Roman"/>
          <w:szCs w:val="20"/>
        </w:rPr>
        <w:t xml:space="preserve">Changes in yield and seed quality traits in rapeseed genotypes by sulphur fertilization. </w:t>
      </w:r>
      <w:r w:rsidRPr="006819B1">
        <w:rPr>
          <w:szCs w:val="20"/>
        </w:rPr>
        <w:t>Eur Food Res Technol. 2009; 229:841</w:t>
      </w:r>
      <w:bookmarkStart w:id="71" w:name="_ENREF_16"/>
    </w:p>
    <w:p w:rsidR="006819B1" w:rsidRPr="006819B1" w:rsidRDefault="006819B1" w:rsidP="006819B1">
      <w:pPr>
        <w:spacing w:after="0" w:line="360" w:lineRule="auto"/>
        <w:ind w:left="720" w:hanging="720"/>
        <w:rPr>
          <w:szCs w:val="20"/>
        </w:rPr>
      </w:pPr>
      <w:r w:rsidRPr="006819B1">
        <w:rPr>
          <w:noProof/>
          <w:szCs w:val="20"/>
        </w:rPr>
        <w:t>Gomez Kwanchai A, Arturo A. Gomez. Statistical Procedures for Agricultural Research: John Wiley &amp; Sons</w:t>
      </w:r>
      <w:bookmarkEnd w:id="71"/>
      <w:r w:rsidRPr="006819B1">
        <w:rPr>
          <w:noProof/>
          <w:szCs w:val="20"/>
        </w:rPr>
        <w:t>; 1984.</w:t>
      </w:r>
    </w:p>
    <w:p w:rsidR="006819B1" w:rsidRPr="006819B1" w:rsidRDefault="006819B1" w:rsidP="003B37A0">
      <w:pPr>
        <w:spacing w:after="0" w:line="360" w:lineRule="auto"/>
        <w:ind w:left="720" w:hanging="720"/>
        <w:rPr>
          <w:szCs w:val="20"/>
        </w:rPr>
      </w:pPr>
      <w:r w:rsidRPr="006819B1">
        <w:rPr>
          <w:szCs w:val="20"/>
        </w:rPr>
        <w:t>Bhosale ND, BM Dabhi, VP Gaikwad and Chavan AB., 2011. Growth, yield and quality parameters of sesamum (</w:t>
      </w:r>
      <w:r w:rsidRPr="006819B1">
        <w:rPr>
          <w:i/>
          <w:szCs w:val="20"/>
        </w:rPr>
        <w:t>Sesamum indicum</w:t>
      </w:r>
      <w:r w:rsidRPr="006819B1">
        <w:rPr>
          <w:szCs w:val="20"/>
        </w:rPr>
        <w:t xml:space="preserve"> L.) as influenced by different levels of postash and </w:t>
      </w:r>
      <w:r w:rsidRPr="006819B1">
        <w:rPr>
          <w:szCs w:val="20"/>
        </w:rPr>
        <w:tab/>
        <w:t>sulphur. Inter. J. Forestry &amp; Crop Improv. 2(20): 121-123.</w:t>
      </w:r>
    </w:p>
    <w:p w:rsidR="006819B1" w:rsidRPr="006819B1" w:rsidRDefault="006819B1" w:rsidP="003B37A0">
      <w:pPr>
        <w:spacing w:after="0" w:line="360" w:lineRule="auto"/>
        <w:ind w:left="720" w:hanging="720"/>
        <w:rPr>
          <w:szCs w:val="20"/>
        </w:rPr>
      </w:pPr>
      <w:r w:rsidRPr="006819B1">
        <w:rPr>
          <w:szCs w:val="20"/>
        </w:rPr>
        <w:t>Dharati P Patel, RA Patel, Sonaka Ghosh and Patel.PK. 2017. Effect of irrigation, Vermicompost and sulphur on oil content and S content and uptake of summer sesamum (</w:t>
      </w:r>
      <w:r w:rsidRPr="006819B1">
        <w:rPr>
          <w:i/>
          <w:szCs w:val="20"/>
        </w:rPr>
        <w:t xml:space="preserve">Sesamum </w:t>
      </w:r>
      <w:r w:rsidRPr="006819B1">
        <w:rPr>
          <w:i/>
          <w:szCs w:val="20"/>
        </w:rPr>
        <w:tab/>
        <w:t xml:space="preserve">indicum </w:t>
      </w:r>
      <w:r w:rsidRPr="006819B1">
        <w:rPr>
          <w:szCs w:val="20"/>
        </w:rPr>
        <w:t xml:space="preserve">L.) under loamy sand. Inter. J. of Chem. Studies. 5(5): 2159-2162 </w:t>
      </w:r>
    </w:p>
    <w:p w:rsidR="006819B1" w:rsidRPr="006819B1" w:rsidRDefault="006819B1" w:rsidP="006819B1">
      <w:pPr>
        <w:spacing w:after="0" w:line="360" w:lineRule="auto"/>
        <w:ind w:left="720" w:hanging="720"/>
        <w:rPr>
          <w:szCs w:val="20"/>
        </w:rPr>
      </w:pPr>
      <w:r w:rsidRPr="006819B1">
        <w:rPr>
          <w:szCs w:val="20"/>
        </w:rPr>
        <w:t xml:space="preserve">Ojoni Tekseng, PK Sing and Kevineituo Bier., 2018. Effect of phosphorus and sulphur nutrition on growth, yield and quality attributes of sesamum </w:t>
      </w:r>
      <w:r w:rsidRPr="006819B1">
        <w:rPr>
          <w:i/>
          <w:szCs w:val="20"/>
        </w:rPr>
        <w:t xml:space="preserve">(Sesamum indicum </w:t>
      </w:r>
      <w:r w:rsidRPr="006819B1">
        <w:rPr>
          <w:szCs w:val="20"/>
        </w:rPr>
        <w:t>L.</w:t>
      </w:r>
      <w:r w:rsidRPr="006819B1">
        <w:rPr>
          <w:i/>
          <w:szCs w:val="20"/>
        </w:rPr>
        <w:t>)</w:t>
      </w:r>
      <w:r w:rsidRPr="006819B1">
        <w:rPr>
          <w:szCs w:val="20"/>
        </w:rPr>
        <w:t xml:space="preserve"> under acidic soil of Nagaland. 315-319</w:t>
      </w:r>
    </w:p>
    <w:p w:rsidR="006819B1" w:rsidRPr="006819B1" w:rsidRDefault="006819B1" w:rsidP="006819B1">
      <w:pPr>
        <w:spacing w:after="0" w:line="360" w:lineRule="auto"/>
        <w:ind w:left="720" w:hanging="720"/>
        <w:rPr>
          <w:szCs w:val="20"/>
        </w:rPr>
      </w:pPr>
      <w:r w:rsidRPr="006819B1">
        <w:rPr>
          <w:szCs w:val="20"/>
        </w:rPr>
        <w:t xml:space="preserve">Tahir, M, A. Ibrahim, S. Tahir, Aimen Ayub, A.Tanveer and Rehman. H., 2014. Effect of sulfur levels on two sesame </w:t>
      </w:r>
      <w:r w:rsidRPr="006819B1">
        <w:rPr>
          <w:i/>
          <w:szCs w:val="20"/>
        </w:rPr>
        <w:t xml:space="preserve">(Sesamum indicum </w:t>
      </w:r>
      <w:r w:rsidRPr="006819B1">
        <w:rPr>
          <w:szCs w:val="20"/>
        </w:rPr>
        <w:t>L.</w:t>
      </w:r>
      <w:r w:rsidRPr="006819B1">
        <w:rPr>
          <w:i/>
          <w:szCs w:val="20"/>
        </w:rPr>
        <w:t>)</w:t>
      </w:r>
      <w:r w:rsidRPr="006819B1">
        <w:rPr>
          <w:szCs w:val="20"/>
        </w:rPr>
        <w:t xml:space="preserve"> varieties under climatic conditions of pakistan. Inter. J. of plant &amp; soil science. 3(3) : 281-288.</w:t>
      </w:r>
    </w:p>
    <w:p w:rsidR="006819B1" w:rsidRPr="006819B1" w:rsidRDefault="006819B1" w:rsidP="006819B1">
      <w:pPr>
        <w:spacing w:after="0" w:line="360" w:lineRule="auto"/>
        <w:ind w:left="720" w:hanging="720"/>
        <w:rPr>
          <w:szCs w:val="20"/>
        </w:rPr>
      </w:pPr>
      <w:r w:rsidRPr="006819B1">
        <w:rPr>
          <w:szCs w:val="20"/>
        </w:rPr>
        <w:t>Suchhanda Mondal., 2016. Efficiency of sulphur source on sesame (</w:t>
      </w:r>
      <w:r w:rsidRPr="006819B1">
        <w:rPr>
          <w:i/>
          <w:szCs w:val="20"/>
        </w:rPr>
        <w:t xml:space="preserve">Sesamum indicum </w:t>
      </w:r>
      <w:r w:rsidRPr="006819B1">
        <w:rPr>
          <w:szCs w:val="20"/>
        </w:rPr>
        <w:t xml:space="preserve">L.) in red and lateritic soil of West Bengal. Inter. J. of  plant, animal and environmental sciences. 6 (2):65-70.   </w:t>
      </w:r>
    </w:p>
    <w:p w:rsidR="006819B1" w:rsidRPr="006819B1" w:rsidRDefault="006819B1" w:rsidP="006819B1"/>
    <w:sectPr w:rsidR="006819B1" w:rsidRPr="006819B1" w:rsidSect="00FF5369">
      <w:footerReference w:type="even" r:id="rId11"/>
      <w:footerReference w:type="default" r:id="rId12"/>
      <w:headerReference w:type="first" r:id="rId13"/>
      <w:footerReference w:type="first" r:id="rId14"/>
      <w:pgSz w:w="11907" w:h="16839" w:code="9"/>
      <w:pgMar w:top="1440" w:right="1440" w:bottom="1440" w:left="1440" w:header="432" w:footer="432" w:gutter="0"/>
      <w:lnNumType w:countBy="1" w:restart="continuous"/>
      <w:pgNumType w:start="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dmin" w:date="2021-01-26T07:36:00Z" w:initials="a">
    <w:p w:rsidR="004F44F6" w:rsidRDefault="004F44F6">
      <w:pPr>
        <w:pStyle w:val="CommentText"/>
      </w:pPr>
      <w:r>
        <w:rPr>
          <w:rStyle w:val="CommentReference"/>
        </w:rPr>
        <w:annotationRef/>
      </w:r>
      <w:r w:rsidR="009A12CC">
        <w:t>use either graded levels or varied doses uniformly through out the manuscript</w:t>
      </w:r>
    </w:p>
  </w:comment>
  <w:comment w:id="8" w:author="admin" w:date="2021-01-26T07:38:00Z" w:initials="a">
    <w:p w:rsidR="004F44F6" w:rsidRDefault="004F44F6">
      <w:pPr>
        <w:pStyle w:val="CommentText"/>
      </w:pPr>
      <w:r>
        <w:rPr>
          <w:rStyle w:val="CommentReference"/>
        </w:rPr>
        <w:annotationRef/>
      </w:r>
      <w:r w:rsidR="009A12CC">
        <w:t>Give clear statement</w:t>
      </w:r>
    </w:p>
  </w:comment>
  <w:comment w:id="16" w:author="admin" w:date="2021-01-26T07:41:00Z" w:initials="a">
    <w:p w:rsidR="004F44F6" w:rsidRDefault="004F44F6">
      <w:pPr>
        <w:pStyle w:val="CommentText"/>
      </w:pPr>
      <w:r>
        <w:rPr>
          <w:rStyle w:val="CommentReference"/>
        </w:rPr>
        <w:annotationRef/>
      </w:r>
      <w:r w:rsidR="009A12CC">
        <w:t>not clear</w:t>
      </w:r>
    </w:p>
  </w:comment>
  <w:comment w:id="20" w:author="admin" w:date="2021-01-26T07:42:00Z" w:initials="a">
    <w:p w:rsidR="004F44F6" w:rsidRDefault="004F44F6">
      <w:pPr>
        <w:pStyle w:val="CommentText"/>
      </w:pPr>
      <w:r>
        <w:rPr>
          <w:rStyle w:val="CommentReference"/>
        </w:rPr>
        <w:annotationRef/>
      </w:r>
      <w:r w:rsidR="009A12CC">
        <w:t>Expand</w:t>
      </w:r>
    </w:p>
  </w:comment>
  <w:comment w:id="56" w:author="admin" w:date="2021-01-26T07:51:00Z" w:initials="a">
    <w:p w:rsidR="00C33205" w:rsidRDefault="00C33205">
      <w:pPr>
        <w:pStyle w:val="CommentText"/>
      </w:pPr>
      <w:r>
        <w:rPr>
          <w:rStyle w:val="CommentReference"/>
        </w:rPr>
        <w:annotationRef/>
      </w:r>
      <w:r w:rsidR="009A12CC">
        <w:t>too long and re-write the sentence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2CC" w:rsidRDefault="009A12CC" w:rsidP="009B5641">
      <w:pPr>
        <w:spacing w:after="0"/>
      </w:pPr>
      <w:r>
        <w:separator/>
      </w:r>
    </w:p>
  </w:endnote>
  <w:endnote w:type="continuationSeparator" w:id="1">
    <w:p w:rsidR="009A12CC" w:rsidRDefault="009A12CC" w:rsidP="009B56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B0A" w:rsidRPr="0081616E" w:rsidRDefault="00BF4B0A" w:rsidP="00411758">
    <w:pPr>
      <w:pStyle w:val="Footer"/>
      <w:rPr>
        <w:rFonts w:ascii="Candara" w:hAnsi="Candara"/>
      </w:rPr>
    </w:pPr>
    <w:r>
      <w:rPr>
        <w:rFonts w:ascii="Candara" w:hAnsi="Candara"/>
      </w:rPr>
      <w:tab/>
    </w:r>
    <w:r>
      <w:rPr>
        <w:rFonts w:ascii="Candara" w:hAnsi="Candara"/>
      </w:rPr>
      <w:tab/>
    </w:r>
    <w:r w:rsidRPr="0081616E">
      <w:rPr>
        <w:rFonts w:ascii="Candara" w:hAnsi="Candara"/>
      </w:rPr>
      <w:t xml:space="preserve">Volume </w:t>
    </w:r>
    <w:r>
      <w:rPr>
        <w:rFonts w:ascii="Candara" w:hAnsi="Candara"/>
      </w:rPr>
      <w:t>105</w:t>
    </w:r>
    <w:r w:rsidRPr="0081616E">
      <w:rPr>
        <w:rFonts w:ascii="Candara" w:hAnsi="Candara"/>
      </w:rPr>
      <w:t xml:space="preserve"> | Issue </w:t>
    </w:r>
    <w:r>
      <w:rPr>
        <w:rFonts w:ascii="Candara" w:hAnsi="Candara"/>
      </w:rPr>
      <w:t>10-12</w:t>
    </w:r>
    <w:r w:rsidRPr="0081616E">
      <w:rPr>
        <w:rFonts w:ascii="Candara" w:hAnsi="Candara"/>
      </w:rPr>
      <w:t xml:space="preserve"> | </w:t>
    </w:r>
    <w:r>
      <w:rPr>
        <w:rFonts w:ascii="Candara" w:hAnsi="Candara"/>
      </w:rPr>
      <w:t>04</w:t>
    </w:r>
  </w:p>
  <w:p w:rsidR="00BF4B0A" w:rsidRDefault="00BF4B0A">
    <w:pPr>
      <w:pStyle w:val="Footer"/>
    </w:pPr>
  </w:p>
  <w:p w:rsidR="00EC587E" w:rsidRDefault="00EC587E"/>
  <w:p w:rsidR="00EC587E" w:rsidRDefault="00EC58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B0A" w:rsidRDefault="00BF4B0A">
    <w:pPr>
      <w:pStyle w:val="Footer"/>
    </w:pPr>
  </w:p>
  <w:p w:rsidR="00EC587E" w:rsidRDefault="00EC587E"/>
  <w:p w:rsidR="00EC587E" w:rsidRDefault="00EC587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B0A" w:rsidRDefault="00480F08" w:rsidP="006623E0">
    <w:pPr>
      <w:pStyle w:val="Footer"/>
      <w:jc w:val="right"/>
    </w:pPr>
    <w:r>
      <w:rPr>
        <w:rFonts w:ascii="Candara" w:hAnsi="Candara"/>
      </w:rPr>
      <w:t xml:space="preserve">                                 </w:t>
    </w:r>
    <w:hyperlink r:id="rId1" w:history="1"/>
    <w:r w:rsidR="0024112A">
      <w:t>Volume xxx</w:t>
    </w:r>
    <w:r w:rsidR="00E83716" w:rsidRPr="00E83716">
      <w:t xml:space="preserve"> | Issue </w:t>
    </w:r>
    <w:r w:rsidR="0024112A">
      <w:t>xxxxx</w:t>
    </w:r>
    <w:r w:rsidR="00E83716" w:rsidRPr="00E83716">
      <w:t xml:space="preserve"> | 1</w:t>
    </w:r>
  </w:p>
  <w:p w:rsidR="00BF4B0A" w:rsidRPr="00545A47" w:rsidRDefault="00BF4B0A" w:rsidP="00545A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2CC" w:rsidRDefault="009A12CC" w:rsidP="009B5641">
      <w:pPr>
        <w:spacing w:after="0"/>
      </w:pPr>
      <w:r>
        <w:separator/>
      </w:r>
    </w:p>
  </w:footnote>
  <w:footnote w:type="continuationSeparator" w:id="1">
    <w:p w:rsidR="009A12CC" w:rsidRDefault="009A12CC" w:rsidP="009B56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677"/>
      <w:gridCol w:w="1566"/>
    </w:tblGrid>
    <w:tr w:rsidR="00BF4B0A" w:rsidRPr="00E10C46" w:rsidTr="00E10C46">
      <w:trPr>
        <w:trHeight w:val="1135"/>
      </w:trPr>
      <w:tc>
        <w:tcPr>
          <w:tcW w:w="4153" w:type="pct"/>
          <w:vAlign w:val="center"/>
        </w:tcPr>
        <w:p w:rsidR="00BF4B0A" w:rsidRPr="00342E6C" w:rsidRDefault="00BF4B0A" w:rsidP="00E10C46">
          <w:pPr>
            <w:pStyle w:val="Header"/>
            <w:spacing w:before="100" w:beforeAutospacing="1" w:after="120"/>
            <w:rPr>
              <w:rFonts w:ascii="Franklin Gothic Book" w:hAnsi="Franklin Gothic Book"/>
              <w:sz w:val="20"/>
              <w:szCs w:val="22"/>
              <w:lang w:val="en-US" w:eastAsia="en-US"/>
            </w:rPr>
          </w:pPr>
          <w:r w:rsidRPr="00342E6C">
            <w:rPr>
              <w:rFonts w:ascii="Franklin Gothic Book" w:hAnsi="Franklin Gothic Book"/>
              <w:i/>
              <w:sz w:val="20"/>
              <w:szCs w:val="22"/>
              <w:lang w:val="en-US" w:eastAsia="en-US"/>
            </w:rPr>
            <w:t>Madras Agric.J.,</w:t>
          </w:r>
          <w:r w:rsidR="00A64E91">
            <w:rPr>
              <w:rFonts w:ascii="Franklin Gothic Book" w:hAnsi="Franklin Gothic Book"/>
              <w:sz w:val="20"/>
              <w:szCs w:val="22"/>
              <w:lang w:val="en-US" w:eastAsia="en-US"/>
            </w:rPr>
            <w:t xml:space="preserve"> 2020</w:t>
          </w:r>
          <w:r w:rsidRPr="00342E6C">
            <w:rPr>
              <w:rFonts w:ascii="Franklin Gothic Book" w:hAnsi="Franklin Gothic Book"/>
              <w:sz w:val="20"/>
              <w:szCs w:val="22"/>
              <w:lang w:val="en-US" w:eastAsia="en-US"/>
            </w:rPr>
            <w:t xml:space="preserve">; </w:t>
          </w:r>
          <w:r w:rsidR="00946A75">
            <w:rPr>
              <w:rFonts w:ascii="Franklin Gothic Book" w:hAnsi="Franklin Gothic Book"/>
              <w:sz w:val="20"/>
              <w:szCs w:val="22"/>
              <w:lang w:val="en-US" w:eastAsia="en-US"/>
            </w:rPr>
            <w:t>doi:xxxxxxxx</w:t>
          </w:r>
        </w:p>
      </w:tc>
      <w:tc>
        <w:tcPr>
          <w:tcW w:w="847" w:type="pct"/>
        </w:tcPr>
        <w:p w:rsidR="00BF4B0A" w:rsidRPr="00342E6C" w:rsidRDefault="0031448C" w:rsidP="00E10C46">
          <w:pPr>
            <w:pStyle w:val="Header"/>
            <w:tabs>
              <w:tab w:val="clear" w:pos="4680"/>
            </w:tabs>
            <w:spacing w:before="100" w:beforeAutospacing="1" w:after="360"/>
            <w:ind w:right="-144"/>
            <w:jc w:val="right"/>
            <w:rPr>
              <w:rFonts w:ascii="Franklin Gothic Book" w:hAnsi="Franklin Gothic Book"/>
              <w:sz w:val="18"/>
              <w:szCs w:val="18"/>
              <w:lang w:val="en-US" w:eastAsia="en-US"/>
            </w:rPr>
          </w:pPr>
          <w:r>
            <w:rPr>
              <w:rFonts w:ascii="Franklin Gothic Book" w:hAnsi="Franklin Gothic Book"/>
              <w:noProof/>
              <w:sz w:val="18"/>
              <w:szCs w:val="18"/>
              <w:lang w:val="en-US" w:eastAsia="en-US"/>
            </w:rPr>
            <w:drawing>
              <wp:inline distT="0" distB="0" distL="0" distR="0">
                <wp:extent cx="641350" cy="609600"/>
                <wp:effectExtent l="19050" t="0" r="6350" b="0"/>
                <wp:docPr id="3" name="Picture 1" descr="C:\Users\TAMIL\Desktop\ma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IL\Desktop\masu logo.PNG"/>
                        <pic:cNvPicPr>
                          <a:picLocks noChangeAspect="1" noChangeArrowheads="1"/>
                        </pic:cNvPicPr>
                      </pic:nvPicPr>
                      <pic:blipFill>
                        <a:blip r:embed="rId1"/>
                        <a:srcRect/>
                        <a:stretch>
                          <a:fillRect/>
                        </a:stretch>
                      </pic:blipFill>
                      <pic:spPr bwMode="auto">
                        <a:xfrm>
                          <a:off x="0" y="0"/>
                          <a:ext cx="641350" cy="609600"/>
                        </a:xfrm>
                        <a:prstGeom prst="rect">
                          <a:avLst/>
                        </a:prstGeom>
                        <a:noFill/>
                        <a:ln w="9525">
                          <a:noFill/>
                          <a:miter lim="800000"/>
                          <a:headEnd/>
                          <a:tailEnd/>
                        </a:ln>
                      </pic:spPr>
                    </pic:pic>
                  </a:graphicData>
                </a:graphic>
              </wp:inline>
            </w:drawing>
          </w:r>
        </w:p>
      </w:tc>
    </w:tr>
  </w:tbl>
  <w:p w:rsidR="00BF4B0A" w:rsidRDefault="00CF1D4C">
    <w:pPr>
      <w:pStyle w:val="Header"/>
    </w:pPr>
    <w:r w:rsidRPr="00CF1D4C">
      <w:rPr>
        <w:noProof/>
      </w:rPr>
      <w:pict>
        <v:line id="Straight Connector 17" o:spid="_x0000_s2050" style="position:absolute;left:0;text-align:left;flip:x;z-index:251658240;visibility:visible;mso-wrap-distance-top:-8e-5mm;mso-wrap-distance-bottom:-8e-5mm;mso-position-horizontal-relative:text;mso-position-vertical-relative:text;mso-width-relative:margin" from="-73.5pt,-.3pt" to="53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" strokecolor="#bc4542">
          <o:lock v:ext="edit" shapetype="f"/>
        </v:line>
      </w:pict>
    </w:r>
    <w:r w:rsidRPr="00CF1D4C">
      <w:rPr>
        <w:noProof/>
      </w:rPr>
      <w:pict>
        <v:line id="Straight Connector 16" o:spid="_x0000_s2049" style="position:absolute;left:0;text-align:left;z-index:251657216;visibility:visible;mso-wrap-distance-top:-8e-5mm;mso-wrap-distance-bottom:-8e-5mm;mso-position-horizontal-relative:text;mso-position-vertical-relative:text;mso-width-relative:margin" from="-73.5pt,5.7pt" to="54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" strokecolor="#9bbb59" strokeweight="3pt">
          <v:shadow on="t" color="black" opacity="22937f" origin=",.5" offset="0,.63889mm"/>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76FD6"/>
    <w:multiLevelType w:val="hybridMultilevel"/>
    <w:tmpl w:val="C5FA7C40"/>
    <w:lvl w:ilvl="0" w:tplc="1EF2778A">
      <w:start w:val="1"/>
      <w:numFmt w:val="decimal"/>
      <w:lvlText w:val="%1."/>
      <w:lvlJc w:val="left"/>
      <w:pPr>
        <w:ind w:left="720" w:hanging="360"/>
      </w:pPr>
      <w:rPr>
        <w:rFonts w:ascii="Arial" w:hAnsi="Arial" w:cs="Arial" w:hint="default"/>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251A7F"/>
    <w:multiLevelType w:val="hybridMultilevel"/>
    <w:tmpl w:val="7B5E40B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5CB67E84"/>
    <w:multiLevelType w:val="hybridMultilevel"/>
    <w:tmpl w:val="DF6CB9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5F9A5092"/>
    <w:multiLevelType w:val="hybridMultilevel"/>
    <w:tmpl w:val="29B2F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8" w:nlCheck="1" w:checkStyle="0"/>
  <w:activeWritingStyle w:appName="MSWord" w:lang="en-IN" w:vendorID="64" w:dllVersion="131078" w:nlCheck="1" w:checkStyle="1"/>
  <w:trackRevisions/>
  <w:defaultTabStop w:val="720"/>
  <w:drawingGridHorizontalSpacing w:val="10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NDcxMzE3NjM2sDAyNjVW0lEKTi0uzszPAymwrAUAWt4Q5SwAAAA="/>
    <w:docVar w:name="EN.InstantFormat" w:val="&lt;ENInstantFormat&gt;&lt;Enabled&gt;1&lt;/Enabled&gt;&lt;ScanUnformatted&gt;1&lt;/ScanUnformatted&gt;&lt;ScanChanges&gt;1&lt;/ScanChanges&gt;&lt;Suspended&gt;0&lt;/Suspended&gt;&lt;/ENInstantFormat&gt;"/>
    <w:docVar w:name="EN.Layout" w:val="&lt;ENLayout&gt;&lt;Style&gt;APA 6th TNAU&lt;/Style&gt;&lt;LeftDelim&gt;{&lt;/LeftDelim&gt;&lt;RightDelim&gt;}&lt;/RightDelim&gt;&lt;FontName&gt;Franklin Gothic Book&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xfvvfvswfvs5e22z350pwkz5adarvfvwwz&quot;&gt;My EndNote Library&lt;record-ids&gt;&lt;item&gt;56&lt;/item&gt;&lt;item&gt;57&lt;/item&gt;&lt;item&gt;58&lt;/item&gt;&lt;/record-ids&gt;&lt;/item&gt;&lt;/Libraries&gt;"/>
  </w:docVars>
  <w:rsids>
    <w:rsidRoot w:val="0041471D"/>
    <w:rsid w:val="000026B6"/>
    <w:rsid w:val="000037C0"/>
    <w:rsid w:val="00004F3C"/>
    <w:rsid w:val="00020FFC"/>
    <w:rsid w:val="000308BC"/>
    <w:rsid w:val="00040F94"/>
    <w:rsid w:val="000410C2"/>
    <w:rsid w:val="00042CAD"/>
    <w:rsid w:val="00051B3C"/>
    <w:rsid w:val="00052164"/>
    <w:rsid w:val="000671B6"/>
    <w:rsid w:val="00082933"/>
    <w:rsid w:val="00086AB3"/>
    <w:rsid w:val="0009646B"/>
    <w:rsid w:val="000C2271"/>
    <w:rsid w:val="000C30B0"/>
    <w:rsid w:val="000D652A"/>
    <w:rsid w:val="000D73DC"/>
    <w:rsid w:val="000E02DE"/>
    <w:rsid w:val="000E20A9"/>
    <w:rsid w:val="000E2885"/>
    <w:rsid w:val="000E2C00"/>
    <w:rsid w:val="000E53CF"/>
    <w:rsid w:val="000E74BE"/>
    <w:rsid w:val="000F1E17"/>
    <w:rsid w:val="001037EC"/>
    <w:rsid w:val="00110682"/>
    <w:rsid w:val="001228A2"/>
    <w:rsid w:val="00125504"/>
    <w:rsid w:val="001255D9"/>
    <w:rsid w:val="0012632E"/>
    <w:rsid w:val="001307A6"/>
    <w:rsid w:val="00131A68"/>
    <w:rsid w:val="001329DE"/>
    <w:rsid w:val="00133F1A"/>
    <w:rsid w:val="00134384"/>
    <w:rsid w:val="00140EAD"/>
    <w:rsid w:val="0014192D"/>
    <w:rsid w:val="00142125"/>
    <w:rsid w:val="001427E8"/>
    <w:rsid w:val="00144E99"/>
    <w:rsid w:val="00144F26"/>
    <w:rsid w:val="00147C64"/>
    <w:rsid w:val="00150F58"/>
    <w:rsid w:val="00152A72"/>
    <w:rsid w:val="00171B2B"/>
    <w:rsid w:val="0018575B"/>
    <w:rsid w:val="0018783F"/>
    <w:rsid w:val="001A3B95"/>
    <w:rsid w:val="001A4DBC"/>
    <w:rsid w:val="001A5B94"/>
    <w:rsid w:val="001B1B28"/>
    <w:rsid w:val="001B6ED6"/>
    <w:rsid w:val="001C57BB"/>
    <w:rsid w:val="001C7797"/>
    <w:rsid w:val="001D0966"/>
    <w:rsid w:val="001E26E7"/>
    <w:rsid w:val="001E3823"/>
    <w:rsid w:val="001E7652"/>
    <w:rsid w:val="001E7FD0"/>
    <w:rsid w:val="00200A70"/>
    <w:rsid w:val="00207518"/>
    <w:rsid w:val="00213BC2"/>
    <w:rsid w:val="00214D5C"/>
    <w:rsid w:val="0021557E"/>
    <w:rsid w:val="00221984"/>
    <w:rsid w:val="00224281"/>
    <w:rsid w:val="00226482"/>
    <w:rsid w:val="002318B7"/>
    <w:rsid w:val="00237746"/>
    <w:rsid w:val="0024112A"/>
    <w:rsid w:val="00261E2D"/>
    <w:rsid w:val="00263509"/>
    <w:rsid w:val="00263957"/>
    <w:rsid w:val="00264A23"/>
    <w:rsid w:val="00264A2E"/>
    <w:rsid w:val="002663C9"/>
    <w:rsid w:val="0027170C"/>
    <w:rsid w:val="00282019"/>
    <w:rsid w:val="00285864"/>
    <w:rsid w:val="00285BC4"/>
    <w:rsid w:val="002916D3"/>
    <w:rsid w:val="002A2B20"/>
    <w:rsid w:val="002A41C2"/>
    <w:rsid w:val="002A6EFA"/>
    <w:rsid w:val="002B3FF9"/>
    <w:rsid w:val="002C12AA"/>
    <w:rsid w:val="002F79E9"/>
    <w:rsid w:val="00300534"/>
    <w:rsid w:val="00300D7C"/>
    <w:rsid w:val="00301DCE"/>
    <w:rsid w:val="003107D9"/>
    <w:rsid w:val="00310991"/>
    <w:rsid w:val="0031448C"/>
    <w:rsid w:val="00315F12"/>
    <w:rsid w:val="003358B4"/>
    <w:rsid w:val="003422E5"/>
    <w:rsid w:val="00342569"/>
    <w:rsid w:val="00342E6C"/>
    <w:rsid w:val="003458E4"/>
    <w:rsid w:val="00346B58"/>
    <w:rsid w:val="00356382"/>
    <w:rsid w:val="00367AC7"/>
    <w:rsid w:val="0037652F"/>
    <w:rsid w:val="00376DF4"/>
    <w:rsid w:val="00383456"/>
    <w:rsid w:val="0038664F"/>
    <w:rsid w:val="0039006D"/>
    <w:rsid w:val="0039111B"/>
    <w:rsid w:val="003B35D2"/>
    <w:rsid w:val="003B36DE"/>
    <w:rsid w:val="003B37A0"/>
    <w:rsid w:val="003B7C63"/>
    <w:rsid w:val="003C03A4"/>
    <w:rsid w:val="003D04C9"/>
    <w:rsid w:val="003D7E78"/>
    <w:rsid w:val="003E23A9"/>
    <w:rsid w:val="003E7495"/>
    <w:rsid w:val="00407350"/>
    <w:rsid w:val="00411758"/>
    <w:rsid w:val="0041471D"/>
    <w:rsid w:val="004269C3"/>
    <w:rsid w:val="00434347"/>
    <w:rsid w:val="00437DDA"/>
    <w:rsid w:val="004438A9"/>
    <w:rsid w:val="00447BE3"/>
    <w:rsid w:val="00452916"/>
    <w:rsid w:val="00454E91"/>
    <w:rsid w:val="00480F08"/>
    <w:rsid w:val="00483782"/>
    <w:rsid w:val="00497B34"/>
    <w:rsid w:val="00497D0B"/>
    <w:rsid w:val="004A0267"/>
    <w:rsid w:val="004A1B87"/>
    <w:rsid w:val="004B583A"/>
    <w:rsid w:val="004B5983"/>
    <w:rsid w:val="004F108F"/>
    <w:rsid w:val="004F27BD"/>
    <w:rsid w:val="004F44F6"/>
    <w:rsid w:val="004F7B29"/>
    <w:rsid w:val="00502F4C"/>
    <w:rsid w:val="00507697"/>
    <w:rsid w:val="0052313A"/>
    <w:rsid w:val="00526127"/>
    <w:rsid w:val="00537DEB"/>
    <w:rsid w:val="005425AE"/>
    <w:rsid w:val="00543CD9"/>
    <w:rsid w:val="00545A47"/>
    <w:rsid w:val="00545DC2"/>
    <w:rsid w:val="005616AE"/>
    <w:rsid w:val="0056304E"/>
    <w:rsid w:val="005672DE"/>
    <w:rsid w:val="00575733"/>
    <w:rsid w:val="00576048"/>
    <w:rsid w:val="00581F63"/>
    <w:rsid w:val="00584EC0"/>
    <w:rsid w:val="00591B49"/>
    <w:rsid w:val="00594D6B"/>
    <w:rsid w:val="005958E1"/>
    <w:rsid w:val="005A537E"/>
    <w:rsid w:val="005B40BE"/>
    <w:rsid w:val="005C0040"/>
    <w:rsid w:val="005C2A14"/>
    <w:rsid w:val="005C6775"/>
    <w:rsid w:val="005D128A"/>
    <w:rsid w:val="005D26AF"/>
    <w:rsid w:val="005D7026"/>
    <w:rsid w:val="005F1AFC"/>
    <w:rsid w:val="005F324B"/>
    <w:rsid w:val="005F49F8"/>
    <w:rsid w:val="005F66A1"/>
    <w:rsid w:val="006037DF"/>
    <w:rsid w:val="0060582B"/>
    <w:rsid w:val="0060674D"/>
    <w:rsid w:val="00607470"/>
    <w:rsid w:val="00615A23"/>
    <w:rsid w:val="00615DE5"/>
    <w:rsid w:val="0062328C"/>
    <w:rsid w:val="00623382"/>
    <w:rsid w:val="00626B89"/>
    <w:rsid w:val="00627DBB"/>
    <w:rsid w:val="00645E7A"/>
    <w:rsid w:val="00646DD5"/>
    <w:rsid w:val="00647BB8"/>
    <w:rsid w:val="00651FF6"/>
    <w:rsid w:val="006522ED"/>
    <w:rsid w:val="006537A2"/>
    <w:rsid w:val="006623E0"/>
    <w:rsid w:val="00675B96"/>
    <w:rsid w:val="006819B1"/>
    <w:rsid w:val="00682AFD"/>
    <w:rsid w:val="0068383A"/>
    <w:rsid w:val="00686AE3"/>
    <w:rsid w:val="00697EAC"/>
    <w:rsid w:val="006A160E"/>
    <w:rsid w:val="006A35E3"/>
    <w:rsid w:val="006A4140"/>
    <w:rsid w:val="006B1F64"/>
    <w:rsid w:val="006B5DE8"/>
    <w:rsid w:val="006B7E95"/>
    <w:rsid w:val="006D0012"/>
    <w:rsid w:val="006D128B"/>
    <w:rsid w:val="006D4ADB"/>
    <w:rsid w:val="006D501F"/>
    <w:rsid w:val="006D5870"/>
    <w:rsid w:val="006D6669"/>
    <w:rsid w:val="006D79A5"/>
    <w:rsid w:val="006F3702"/>
    <w:rsid w:val="006F7681"/>
    <w:rsid w:val="007023F8"/>
    <w:rsid w:val="007249B5"/>
    <w:rsid w:val="00725BC8"/>
    <w:rsid w:val="00730531"/>
    <w:rsid w:val="007344CD"/>
    <w:rsid w:val="00734FD1"/>
    <w:rsid w:val="00735721"/>
    <w:rsid w:val="00736D05"/>
    <w:rsid w:val="00743E77"/>
    <w:rsid w:val="00752006"/>
    <w:rsid w:val="0075689D"/>
    <w:rsid w:val="00757CC1"/>
    <w:rsid w:val="00763A1F"/>
    <w:rsid w:val="00764753"/>
    <w:rsid w:val="00764D6C"/>
    <w:rsid w:val="00766570"/>
    <w:rsid w:val="007706A8"/>
    <w:rsid w:val="00781DE1"/>
    <w:rsid w:val="007824F2"/>
    <w:rsid w:val="007A22F2"/>
    <w:rsid w:val="007A3B58"/>
    <w:rsid w:val="007A3D6C"/>
    <w:rsid w:val="007A745C"/>
    <w:rsid w:val="007A7BFB"/>
    <w:rsid w:val="007B5C47"/>
    <w:rsid w:val="007C248E"/>
    <w:rsid w:val="007D1CB7"/>
    <w:rsid w:val="007E1318"/>
    <w:rsid w:val="007F7B1F"/>
    <w:rsid w:val="00801C05"/>
    <w:rsid w:val="00805EF7"/>
    <w:rsid w:val="008121F9"/>
    <w:rsid w:val="0081616E"/>
    <w:rsid w:val="008162B4"/>
    <w:rsid w:val="008214E5"/>
    <w:rsid w:val="00842586"/>
    <w:rsid w:val="0084258B"/>
    <w:rsid w:val="00843602"/>
    <w:rsid w:val="00843FC0"/>
    <w:rsid w:val="0084474A"/>
    <w:rsid w:val="008467FB"/>
    <w:rsid w:val="00847E33"/>
    <w:rsid w:val="00847E60"/>
    <w:rsid w:val="00850ECD"/>
    <w:rsid w:val="00862972"/>
    <w:rsid w:val="00870D99"/>
    <w:rsid w:val="00874A3E"/>
    <w:rsid w:val="00877BB0"/>
    <w:rsid w:val="00884BE9"/>
    <w:rsid w:val="00885C3E"/>
    <w:rsid w:val="00894F1E"/>
    <w:rsid w:val="00897D82"/>
    <w:rsid w:val="008A3DD5"/>
    <w:rsid w:val="008A7715"/>
    <w:rsid w:val="008C1BC5"/>
    <w:rsid w:val="008E031E"/>
    <w:rsid w:val="008F1462"/>
    <w:rsid w:val="009047FA"/>
    <w:rsid w:val="00906059"/>
    <w:rsid w:val="0091295D"/>
    <w:rsid w:val="0091448E"/>
    <w:rsid w:val="009148C0"/>
    <w:rsid w:val="00916413"/>
    <w:rsid w:val="009171FC"/>
    <w:rsid w:val="009177A7"/>
    <w:rsid w:val="00921E2D"/>
    <w:rsid w:val="009236BC"/>
    <w:rsid w:val="00927ABC"/>
    <w:rsid w:val="00940A22"/>
    <w:rsid w:val="00944B38"/>
    <w:rsid w:val="009459DE"/>
    <w:rsid w:val="00946A75"/>
    <w:rsid w:val="00975BB8"/>
    <w:rsid w:val="00980A89"/>
    <w:rsid w:val="00985D3D"/>
    <w:rsid w:val="0099038E"/>
    <w:rsid w:val="00993BDF"/>
    <w:rsid w:val="0099411D"/>
    <w:rsid w:val="009A12CC"/>
    <w:rsid w:val="009A1F04"/>
    <w:rsid w:val="009A4DE8"/>
    <w:rsid w:val="009A74B2"/>
    <w:rsid w:val="009A7F0C"/>
    <w:rsid w:val="009B386F"/>
    <w:rsid w:val="009B5641"/>
    <w:rsid w:val="009C37FE"/>
    <w:rsid w:val="009D0A50"/>
    <w:rsid w:val="009D1F01"/>
    <w:rsid w:val="009D6686"/>
    <w:rsid w:val="009E109E"/>
    <w:rsid w:val="009F177B"/>
    <w:rsid w:val="00A13CB6"/>
    <w:rsid w:val="00A14EE1"/>
    <w:rsid w:val="00A17504"/>
    <w:rsid w:val="00A20CA1"/>
    <w:rsid w:val="00A22910"/>
    <w:rsid w:val="00A25DB7"/>
    <w:rsid w:val="00A264D3"/>
    <w:rsid w:val="00A63206"/>
    <w:rsid w:val="00A64E91"/>
    <w:rsid w:val="00A95609"/>
    <w:rsid w:val="00AB2897"/>
    <w:rsid w:val="00AC083D"/>
    <w:rsid w:val="00AC19D1"/>
    <w:rsid w:val="00AC1B70"/>
    <w:rsid w:val="00AC27E3"/>
    <w:rsid w:val="00AC27F0"/>
    <w:rsid w:val="00AC2C2C"/>
    <w:rsid w:val="00AC6F58"/>
    <w:rsid w:val="00AD1B5C"/>
    <w:rsid w:val="00AD1C95"/>
    <w:rsid w:val="00AE208A"/>
    <w:rsid w:val="00AE682C"/>
    <w:rsid w:val="00AE778C"/>
    <w:rsid w:val="00B00BA7"/>
    <w:rsid w:val="00B04139"/>
    <w:rsid w:val="00B04A2C"/>
    <w:rsid w:val="00B1157A"/>
    <w:rsid w:val="00B118BF"/>
    <w:rsid w:val="00B14027"/>
    <w:rsid w:val="00B20CE4"/>
    <w:rsid w:val="00B234C6"/>
    <w:rsid w:val="00B316BC"/>
    <w:rsid w:val="00B43162"/>
    <w:rsid w:val="00B43706"/>
    <w:rsid w:val="00B455F7"/>
    <w:rsid w:val="00B55A47"/>
    <w:rsid w:val="00B605B8"/>
    <w:rsid w:val="00B61DCD"/>
    <w:rsid w:val="00B70825"/>
    <w:rsid w:val="00B70C71"/>
    <w:rsid w:val="00B9010D"/>
    <w:rsid w:val="00B93785"/>
    <w:rsid w:val="00B95A80"/>
    <w:rsid w:val="00BA46AE"/>
    <w:rsid w:val="00BA79FC"/>
    <w:rsid w:val="00BA7F20"/>
    <w:rsid w:val="00BB5540"/>
    <w:rsid w:val="00BC7180"/>
    <w:rsid w:val="00BD5DDD"/>
    <w:rsid w:val="00BE3D0D"/>
    <w:rsid w:val="00BE3ECB"/>
    <w:rsid w:val="00BE58D1"/>
    <w:rsid w:val="00BE7272"/>
    <w:rsid w:val="00BF0434"/>
    <w:rsid w:val="00BF2727"/>
    <w:rsid w:val="00BF4B0A"/>
    <w:rsid w:val="00C00EA9"/>
    <w:rsid w:val="00C0149B"/>
    <w:rsid w:val="00C016AE"/>
    <w:rsid w:val="00C05DC1"/>
    <w:rsid w:val="00C074A0"/>
    <w:rsid w:val="00C1217C"/>
    <w:rsid w:val="00C13D3F"/>
    <w:rsid w:val="00C15335"/>
    <w:rsid w:val="00C20BD2"/>
    <w:rsid w:val="00C21665"/>
    <w:rsid w:val="00C268A2"/>
    <w:rsid w:val="00C30394"/>
    <w:rsid w:val="00C33205"/>
    <w:rsid w:val="00C51359"/>
    <w:rsid w:val="00C518DA"/>
    <w:rsid w:val="00C60E16"/>
    <w:rsid w:val="00C7495E"/>
    <w:rsid w:val="00C75E12"/>
    <w:rsid w:val="00C76A5D"/>
    <w:rsid w:val="00C80192"/>
    <w:rsid w:val="00C812A7"/>
    <w:rsid w:val="00C82407"/>
    <w:rsid w:val="00C96860"/>
    <w:rsid w:val="00CA2CBE"/>
    <w:rsid w:val="00CA7F78"/>
    <w:rsid w:val="00CB5B55"/>
    <w:rsid w:val="00CB6818"/>
    <w:rsid w:val="00CB6F42"/>
    <w:rsid w:val="00CC127B"/>
    <w:rsid w:val="00CC1C52"/>
    <w:rsid w:val="00CD713C"/>
    <w:rsid w:val="00CF007B"/>
    <w:rsid w:val="00CF1525"/>
    <w:rsid w:val="00CF1D4C"/>
    <w:rsid w:val="00D05C94"/>
    <w:rsid w:val="00D175FF"/>
    <w:rsid w:val="00D20953"/>
    <w:rsid w:val="00D2135A"/>
    <w:rsid w:val="00D27149"/>
    <w:rsid w:val="00D40A3A"/>
    <w:rsid w:val="00D4460B"/>
    <w:rsid w:val="00D5095E"/>
    <w:rsid w:val="00D5158A"/>
    <w:rsid w:val="00D86BD3"/>
    <w:rsid w:val="00D916C7"/>
    <w:rsid w:val="00D952DB"/>
    <w:rsid w:val="00D95C37"/>
    <w:rsid w:val="00D970C9"/>
    <w:rsid w:val="00DA2BC0"/>
    <w:rsid w:val="00DB1CCC"/>
    <w:rsid w:val="00DB6E9F"/>
    <w:rsid w:val="00DC3BD4"/>
    <w:rsid w:val="00DE209C"/>
    <w:rsid w:val="00DE47C1"/>
    <w:rsid w:val="00DE769F"/>
    <w:rsid w:val="00DF143D"/>
    <w:rsid w:val="00E00625"/>
    <w:rsid w:val="00E0790E"/>
    <w:rsid w:val="00E10C46"/>
    <w:rsid w:val="00E2580D"/>
    <w:rsid w:val="00E26DF4"/>
    <w:rsid w:val="00E33FA4"/>
    <w:rsid w:val="00E34B68"/>
    <w:rsid w:val="00E437A7"/>
    <w:rsid w:val="00E674B6"/>
    <w:rsid w:val="00E70BFA"/>
    <w:rsid w:val="00E7785E"/>
    <w:rsid w:val="00E8293B"/>
    <w:rsid w:val="00E83716"/>
    <w:rsid w:val="00E8572F"/>
    <w:rsid w:val="00E97E24"/>
    <w:rsid w:val="00EB4291"/>
    <w:rsid w:val="00EC2F89"/>
    <w:rsid w:val="00EC587E"/>
    <w:rsid w:val="00EC69C7"/>
    <w:rsid w:val="00EE72A3"/>
    <w:rsid w:val="00EF0F1C"/>
    <w:rsid w:val="00F0405D"/>
    <w:rsid w:val="00F10E7F"/>
    <w:rsid w:val="00F13122"/>
    <w:rsid w:val="00F14FCF"/>
    <w:rsid w:val="00F27F1E"/>
    <w:rsid w:val="00F3014C"/>
    <w:rsid w:val="00F305DF"/>
    <w:rsid w:val="00F3205E"/>
    <w:rsid w:val="00F601E0"/>
    <w:rsid w:val="00F61D8C"/>
    <w:rsid w:val="00F67674"/>
    <w:rsid w:val="00F72119"/>
    <w:rsid w:val="00F7286D"/>
    <w:rsid w:val="00F7385C"/>
    <w:rsid w:val="00F829A9"/>
    <w:rsid w:val="00F93AB3"/>
    <w:rsid w:val="00FA2062"/>
    <w:rsid w:val="00FA348F"/>
    <w:rsid w:val="00FA42AA"/>
    <w:rsid w:val="00FA6ECD"/>
    <w:rsid w:val="00FB0E8E"/>
    <w:rsid w:val="00FB412A"/>
    <w:rsid w:val="00FC02F1"/>
    <w:rsid w:val="00FC6DCD"/>
    <w:rsid w:val="00FD3835"/>
    <w:rsid w:val="00FD5BBA"/>
    <w:rsid w:val="00FE2D8F"/>
    <w:rsid w:val="00FF1E70"/>
    <w:rsid w:val="00FF5369"/>
    <w:rsid w:val="00FF5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C8"/>
    <w:pPr>
      <w:spacing w:after="120"/>
      <w:jc w:val="both"/>
    </w:pPr>
    <w:rPr>
      <w:rFonts w:ascii="Franklin Gothic Book" w:hAnsi="Franklin Gothic Book"/>
      <w:szCs w:val="22"/>
    </w:rPr>
  </w:style>
  <w:style w:type="paragraph" w:styleId="Heading1">
    <w:name w:val="heading 1"/>
    <w:next w:val="Normal"/>
    <w:link w:val="Heading1Char"/>
    <w:uiPriority w:val="9"/>
    <w:unhideWhenUsed/>
    <w:qFormat/>
    <w:rsid w:val="00993BDF"/>
    <w:pPr>
      <w:keepNext/>
      <w:keepLines/>
      <w:outlineLvl w:val="0"/>
    </w:pPr>
    <w:rPr>
      <w:rFonts w:ascii="Franklin Gothic Medium" w:eastAsia="Times New Roman" w:hAnsi="Franklin Gothic Medium"/>
      <w:b/>
      <w:color w:val="000000"/>
      <w:sz w:val="28"/>
      <w:szCs w:val="22"/>
    </w:rPr>
  </w:style>
  <w:style w:type="paragraph" w:styleId="Heading2">
    <w:name w:val="heading 2"/>
    <w:next w:val="Normal"/>
    <w:link w:val="Heading2Char"/>
    <w:uiPriority w:val="9"/>
    <w:unhideWhenUsed/>
    <w:qFormat/>
    <w:rsid w:val="00BA7F20"/>
    <w:pPr>
      <w:keepNext/>
      <w:keepLines/>
      <w:spacing w:after="120"/>
      <w:outlineLvl w:val="1"/>
    </w:pPr>
    <w:rPr>
      <w:rFonts w:ascii="Franklin Gothic Book" w:eastAsia="Arial" w:hAnsi="Franklin Gothic Book" w:cs="Arial"/>
      <w:b/>
      <w:color w:val="181717"/>
      <w:sz w:val="22"/>
      <w:szCs w:val="22"/>
    </w:rPr>
  </w:style>
  <w:style w:type="paragraph" w:styleId="Heading3">
    <w:name w:val="heading 3"/>
    <w:basedOn w:val="Normal"/>
    <w:next w:val="Normal"/>
    <w:link w:val="Heading3Char"/>
    <w:uiPriority w:val="9"/>
    <w:unhideWhenUsed/>
    <w:qFormat/>
    <w:rsid w:val="00BA7F20"/>
    <w:pPr>
      <w:keepNext/>
      <w:keepLines/>
      <w:outlineLvl w:val="2"/>
    </w:pPr>
    <w:rPr>
      <w:rFonts w:eastAsia="Times New Roman"/>
      <w:b/>
      <w:bCs/>
      <w:szCs w:val="20"/>
      <w:lang/>
    </w:rPr>
  </w:style>
  <w:style w:type="paragraph" w:styleId="Heading4">
    <w:name w:val="heading 4"/>
    <w:basedOn w:val="Normal"/>
    <w:next w:val="Normal"/>
    <w:link w:val="Heading4Char"/>
    <w:uiPriority w:val="9"/>
    <w:unhideWhenUsed/>
    <w:qFormat/>
    <w:rsid w:val="00CC127B"/>
    <w:pPr>
      <w:keepNext/>
      <w:keepLines/>
      <w:spacing w:before="200" w:after="0"/>
      <w:outlineLvl w:val="3"/>
    </w:pPr>
    <w:rPr>
      <w:rFonts w:ascii="Cambria" w:eastAsia="Times New Roman" w:hAnsi="Cambria"/>
      <w:b/>
      <w:bCs/>
      <w:i/>
      <w:iCs/>
      <w:color w:val="4F81BD"/>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71D"/>
    <w:pPr>
      <w:spacing w:after="0"/>
    </w:pPr>
    <w:rPr>
      <w:rFonts w:ascii="Tahoma" w:hAnsi="Tahoma"/>
      <w:sz w:val="16"/>
      <w:szCs w:val="16"/>
      <w:lang/>
    </w:rPr>
  </w:style>
  <w:style w:type="character" w:customStyle="1" w:styleId="BalloonTextChar">
    <w:name w:val="Balloon Text Char"/>
    <w:link w:val="BalloonText"/>
    <w:uiPriority w:val="99"/>
    <w:semiHidden/>
    <w:rsid w:val="0041471D"/>
    <w:rPr>
      <w:rFonts w:ascii="Tahoma" w:hAnsi="Tahoma" w:cs="Tahoma"/>
      <w:sz w:val="16"/>
      <w:szCs w:val="16"/>
    </w:rPr>
  </w:style>
  <w:style w:type="paragraph" w:styleId="Header">
    <w:name w:val="header"/>
    <w:basedOn w:val="Normal"/>
    <w:link w:val="HeaderChar"/>
    <w:uiPriority w:val="99"/>
    <w:unhideWhenUsed/>
    <w:rsid w:val="009B5641"/>
    <w:pPr>
      <w:tabs>
        <w:tab w:val="center" w:pos="4680"/>
        <w:tab w:val="right" w:pos="9360"/>
      </w:tabs>
      <w:spacing w:after="0"/>
    </w:pPr>
    <w:rPr>
      <w:rFonts w:ascii="Times New Roman" w:hAnsi="Times New Roman"/>
      <w:sz w:val="24"/>
      <w:szCs w:val="20"/>
      <w:lang/>
    </w:rPr>
  </w:style>
  <w:style w:type="character" w:customStyle="1" w:styleId="HeaderChar">
    <w:name w:val="Header Char"/>
    <w:link w:val="Header"/>
    <w:uiPriority w:val="99"/>
    <w:rsid w:val="009B5641"/>
    <w:rPr>
      <w:rFonts w:ascii="Times New Roman" w:hAnsi="Times New Roman"/>
      <w:sz w:val="24"/>
    </w:rPr>
  </w:style>
  <w:style w:type="paragraph" w:styleId="Footer">
    <w:name w:val="footer"/>
    <w:basedOn w:val="Normal"/>
    <w:link w:val="FooterChar"/>
    <w:uiPriority w:val="99"/>
    <w:unhideWhenUsed/>
    <w:rsid w:val="009B5641"/>
    <w:pPr>
      <w:tabs>
        <w:tab w:val="center" w:pos="4680"/>
        <w:tab w:val="right" w:pos="9360"/>
      </w:tabs>
      <w:spacing w:after="0"/>
    </w:pPr>
    <w:rPr>
      <w:rFonts w:ascii="Times New Roman" w:hAnsi="Times New Roman"/>
      <w:sz w:val="24"/>
      <w:szCs w:val="20"/>
      <w:lang/>
    </w:rPr>
  </w:style>
  <w:style w:type="character" w:customStyle="1" w:styleId="FooterChar">
    <w:name w:val="Footer Char"/>
    <w:link w:val="Footer"/>
    <w:uiPriority w:val="99"/>
    <w:rsid w:val="009B5641"/>
    <w:rPr>
      <w:rFonts w:ascii="Times New Roman" w:hAnsi="Times New Roman"/>
      <w:sz w:val="24"/>
    </w:rPr>
  </w:style>
  <w:style w:type="table" w:styleId="TableGrid">
    <w:name w:val="Table Grid"/>
    <w:basedOn w:val="TableNormal"/>
    <w:uiPriority w:val="59"/>
    <w:rsid w:val="00FF5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E349F008B644AAB6A282E0D042D17E">
    <w:name w:val="A0E349F008B644AAB6A282E0D042D17E"/>
    <w:rsid w:val="00545A47"/>
    <w:pPr>
      <w:spacing w:after="200" w:line="276" w:lineRule="auto"/>
    </w:pPr>
    <w:rPr>
      <w:rFonts w:eastAsia="Times New Roman"/>
      <w:sz w:val="22"/>
      <w:szCs w:val="22"/>
      <w:lang w:eastAsia="ja-JP"/>
    </w:rPr>
  </w:style>
  <w:style w:type="character" w:styleId="Hyperlink">
    <w:name w:val="Hyperlink"/>
    <w:uiPriority w:val="99"/>
    <w:unhideWhenUsed/>
    <w:rsid w:val="0081616E"/>
    <w:rPr>
      <w:color w:val="0000FF"/>
      <w:u w:val="single"/>
    </w:rPr>
  </w:style>
  <w:style w:type="paragraph" w:styleId="ListParagraph">
    <w:name w:val="List Paragraph"/>
    <w:basedOn w:val="Normal"/>
    <w:uiPriority w:val="34"/>
    <w:qFormat/>
    <w:rsid w:val="00CB5B55"/>
    <w:pPr>
      <w:ind w:left="720"/>
      <w:contextualSpacing/>
    </w:pPr>
  </w:style>
  <w:style w:type="character" w:customStyle="1" w:styleId="Heading1Char">
    <w:name w:val="Heading 1 Char"/>
    <w:link w:val="Heading1"/>
    <w:uiPriority w:val="9"/>
    <w:rsid w:val="00993BDF"/>
    <w:rPr>
      <w:rFonts w:ascii="Franklin Gothic Medium" w:eastAsia="Times New Roman" w:hAnsi="Franklin Gothic Medium"/>
      <w:b/>
      <w:color w:val="000000"/>
      <w:sz w:val="28"/>
      <w:szCs w:val="22"/>
      <w:lang w:val="en-US" w:eastAsia="en-US" w:bidi="ar-SA"/>
    </w:rPr>
  </w:style>
  <w:style w:type="character" w:customStyle="1" w:styleId="Heading2Char">
    <w:name w:val="Heading 2 Char"/>
    <w:link w:val="Heading2"/>
    <w:uiPriority w:val="9"/>
    <w:rsid w:val="00BA7F20"/>
    <w:rPr>
      <w:rFonts w:ascii="Franklin Gothic Book" w:eastAsia="Arial" w:hAnsi="Franklin Gothic Book" w:cs="Arial"/>
      <w:b/>
      <w:color w:val="181717"/>
      <w:sz w:val="22"/>
      <w:szCs w:val="22"/>
      <w:lang w:val="en-US" w:eastAsia="en-US" w:bidi="ar-SA"/>
    </w:rPr>
  </w:style>
  <w:style w:type="table" w:customStyle="1" w:styleId="TableGrid0">
    <w:name w:val="TableGrid"/>
    <w:rsid w:val="006B7E95"/>
    <w:rPr>
      <w:rFonts w:eastAsia="Times New Roman"/>
      <w:sz w:val="22"/>
      <w:szCs w:val="22"/>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993BDF"/>
    <w:pPr>
      <w:numPr>
        <w:ilvl w:val="1"/>
      </w:numPr>
      <w:spacing w:after="0"/>
    </w:pPr>
    <w:rPr>
      <w:rFonts w:ascii="Franklin Gothic Medium" w:eastAsia="Times New Roman" w:hAnsi="Franklin Gothic Medium"/>
      <w:iCs/>
      <w:spacing w:val="15"/>
      <w:szCs w:val="24"/>
      <w:lang/>
    </w:rPr>
  </w:style>
  <w:style w:type="character" w:customStyle="1" w:styleId="SubtitleChar">
    <w:name w:val="Subtitle Char"/>
    <w:link w:val="Subtitle"/>
    <w:uiPriority w:val="11"/>
    <w:rsid w:val="00993BDF"/>
    <w:rPr>
      <w:rFonts w:ascii="Franklin Gothic Medium" w:eastAsia="Times New Roman" w:hAnsi="Franklin Gothic Medium" w:cs="Times New Roman"/>
      <w:iCs/>
      <w:spacing w:val="15"/>
      <w:sz w:val="20"/>
      <w:szCs w:val="24"/>
    </w:rPr>
  </w:style>
  <w:style w:type="character" w:styleId="SubtleEmphasis">
    <w:name w:val="Subtle Emphasis"/>
    <w:uiPriority w:val="19"/>
    <w:qFormat/>
    <w:rsid w:val="00993BDF"/>
    <w:rPr>
      <w:rFonts w:ascii="Franklin Gothic Medium" w:hAnsi="Franklin Gothic Medium"/>
      <w:iCs/>
      <w:color w:val="auto"/>
      <w:sz w:val="16"/>
    </w:rPr>
  </w:style>
  <w:style w:type="paragraph" w:customStyle="1" w:styleId="Abstractside">
    <w:name w:val="Abstract side"/>
    <w:basedOn w:val="Normal"/>
    <w:link w:val="AbstractsideChar"/>
    <w:qFormat/>
    <w:rsid w:val="00BA7F20"/>
    <w:pPr>
      <w:spacing w:after="0"/>
    </w:pPr>
    <w:rPr>
      <w:rFonts w:ascii="Franklin Gothic Medium" w:hAnsi="Franklin Gothic Medium"/>
      <w:szCs w:val="20"/>
      <w:lang/>
    </w:rPr>
  </w:style>
  <w:style w:type="character" w:customStyle="1" w:styleId="Heading3Char">
    <w:name w:val="Heading 3 Char"/>
    <w:link w:val="Heading3"/>
    <w:uiPriority w:val="9"/>
    <w:rsid w:val="00BA7F20"/>
    <w:rPr>
      <w:rFonts w:ascii="Franklin Gothic Book" w:eastAsia="Times New Roman" w:hAnsi="Franklin Gothic Book" w:cs="Times New Roman"/>
      <w:b/>
      <w:bCs/>
      <w:sz w:val="20"/>
    </w:rPr>
  </w:style>
  <w:style w:type="character" w:customStyle="1" w:styleId="AbstractsideChar">
    <w:name w:val="Abstract side Char"/>
    <w:link w:val="Abstractside"/>
    <w:rsid w:val="00BA7F20"/>
    <w:rPr>
      <w:rFonts w:ascii="Franklin Gothic Medium" w:hAnsi="Franklin Gothic Medium"/>
      <w:sz w:val="20"/>
      <w:szCs w:val="20"/>
    </w:rPr>
  </w:style>
  <w:style w:type="paragraph" w:styleId="Caption">
    <w:name w:val="caption"/>
    <w:basedOn w:val="Normal"/>
    <w:next w:val="Normal"/>
    <w:uiPriority w:val="35"/>
    <w:unhideWhenUsed/>
    <w:qFormat/>
    <w:rsid w:val="00BA7F20"/>
    <w:rPr>
      <w:b/>
      <w:bCs/>
      <w:szCs w:val="18"/>
    </w:rPr>
  </w:style>
  <w:style w:type="paragraph" w:styleId="NoSpacing">
    <w:name w:val="No Spacing"/>
    <w:uiPriority w:val="1"/>
    <w:qFormat/>
    <w:rsid w:val="00725BC8"/>
    <w:pPr>
      <w:jc w:val="both"/>
    </w:pPr>
    <w:rPr>
      <w:rFonts w:ascii="Franklin Gothic Book" w:hAnsi="Franklin Gothic Book"/>
      <w:szCs w:val="22"/>
    </w:rPr>
  </w:style>
  <w:style w:type="paragraph" w:customStyle="1" w:styleId="EndNoteBibliographyTitle">
    <w:name w:val="EndNote Bibliography Title"/>
    <w:basedOn w:val="Normal"/>
    <w:link w:val="EndNoteBibliographyTitleChar"/>
    <w:rsid w:val="001037EC"/>
    <w:pPr>
      <w:spacing w:after="0"/>
      <w:jc w:val="center"/>
    </w:pPr>
    <w:rPr>
      <w:noProof/>
      <w:szCs w:val="20"/>
      <w:lang/>
    </w:rPr>
  </w:style>
  <w:style w:type="character" w:customStyle="1" w:styleId="EndNoteBibliographyTitleChar">
    <w:name w:val="EndNote Bibliography Title Char"/>
    <w:link w:val="EndNoteBibliographyTitle"/>
    <w:rsid w:val="001037EC"/>
    <w:rPr>
      <w:rFonts w:ascii="Franklin Gothic Book" w:hAnsi="Franklin Gothic Book"/>
      <w:noProof/>
      <w:sz w:val="20"/>
    </w:rPr>
  </w:style>
  <w:style w:type="paragraph" w:customStyle="1" w:styleId="EndNoteBibliography">
    <w:name w:val="EndNote Bibliography"/>
    <w:basedOn w:val="Normal"/>
    <w:link w:val="EndNoteBibliographyChar"/>
    <w:rsid w:val="001037EC"/>
    <w:rPr>
      <w:noProof/>
      <w:szCs w:val="20"/>
      <w:lang/>
    </w:rPr>
  </w:style>
  <w:style w:type="character" w:customStyle="1" w:styleId="EndNoteBibliographyChar">
    <w:name w:val="EndNote Bibliography Char"/>
    <w:link w:val="EndNoteBibliography"/>
    <w:rsid w:val="001037EC"/>
    <w:rPr>
      <w:rFonts w:ascii="Franklin Gothic Book" w:hAnsi="Franklin Gothic Book"/>
      <w:noProof/>
      <w:sz w:val="20"/>
    </w:rPr>
  </w:style>
  <w:style w:type="paragraph" w:customStyle="1" w:styleId="Default">
    <w:name w:val="Default"/>
    <w:rsid w:val="00D05C94"/>
    <w:pPr>
      <w:autoSpaceDE w:val="0"/>
      <w:autoSpaceDN w:val="0"/>
      <w:adjustRightInd w:val="0"/>
    </w:pPr>
    <w:rPr>
      <w:rFonts w:ascii="Times New Roman" w:hAnsi="Times New Roman"/>
      <w:color w:val="000000"/>
      <w:sz w:val="24"/>
      <w:szCs w:val="24"/>
    </w:rPr>
  </w:style>
  <w:style w:type="character" w:customStyle="1" w:styleId="Heading4Char">
    <w:name w:val="Heading 4 Char"/>
    <w:link w:val="Heading4"/>
    <w:uiPriority w:val="9"/>
    <w:rsid w:val="00CC127B"/>
    <w:rPr>
      <w:rFonts w:ascii="Cambria" w:eastAsia="Times New Roman" w:hAnsi="Cambria" w:cs="Times New Roman"/>
      <w:b/>
      <w:bCs/>
      <w:i/>
      <w:iCs/>
      <w:color w:val="4F81BD"/>
      <w:sz w:val="20"/>
    </w:rPr>
  </w:style>
  <w:style w:type="character" w:styleId="PlaceholderText">
    <w:name w:val="Placeholder Text"/>
    <w:uiPriority w:val="99"/>
    <w:semiHidden/>
    <w:rsid w:val="00A25DB7"/>
    <w:rPr>
      <w:color w:val="808080"/>
    </w:rPr>
  </w:style>
  <w:style w:type="character" w:styleId="LineNumber">
    <w:name w:val="line number"/>
    <w:basedOn w:val="DefaultParagraphFont"/>
    <w:uiPriority w:val="99"/>
    <w:semiHidden/>
    <w:unhideWhenUsed/>
    <w:rsid w:val="007A7BFB"/>
  </w:style>
  <w:style w:type="character" w:styleId="CommentReference">
    <w:name w:val="annotation reference"/>
    <w:basedOn w:val="DefaultParagraphFont"/>
    <w:uiPriority w:val="99"/>
    <w:semiHidden/>
    <w:unhideWhenUsed/>
    <w:rsid w:val="004F44F6"/>
    <w:rPr>
      <w:sz w:val="16"/>
      <w:szCs w:val="16"/>
    </w:rPr>
  </w:style>
  <w:style w:type="paragraph" w:styleId="CommentText">
    <w:name w:val="annotation text"/>
    <w:basedOn w:val="Normal"/>
    <w:link w:val="CommentTextChar"/>
    <w:uiPriority w:val="99"/>
    <w:semiHidden/>
    <w:unhideWhenUsed/>
    <w:rsid w:val="004F44F6"/>
    <w:rPr>
      <w:szCs w:val="20"/>
    </w:rPr>
  </w:style>
  <w:style w:type="character" w:customStyle="1" w:styleId="CommentTextChar">
    <w:name w:val="Comment Text Char"/>
    <w:basedOn w:val="DefaultParagraphFont"/>
    <w:link w:val="CommentText"/>
    <w:uiPriority w:val="99"/>
    <w:semiHidden/>
    <w:rsid w:val="004F44F6"/>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4F44F6"/>
    <w:rPr>
      <w:b/>
      <w:bCs/>
    </w:rPr>
  </w:style>
  <w:style w:type="character" w:customStyle="1" w:styleId="CommentSubjectChar">
    <w:name w:val="Comment Subject Char"/>
    <w:basedOn w:val="CommentTextChar"/>
    <w:link w:val="CommentSubject"/>
    <w:uiPriority w:val="99"/>
    <w:semiHidden/>
    <w:rsid w:val="004F44F6"/>
    <w:rPr>
      <w:b/>
      <w:bCs/>
    </w:rPr>
  </w:style>
  <w:style w:type="paragraph" w:styleId="Revision">
    <w:name w:val="Revision"/>
    <w:hidden/>
    <w:uiPriority w:val="99"/>
    <w:semiHidden/>
    <w:rsid w:val="004F44F6"/>
    <w:rPr>
      <w:rFonts w:ascii="Franklin Gothic Book" w:hAnsi="Franklin Gothic Book"/>
      <w:szCs w:val="22"/>
    </w:rPr>
  </w:style>
</w:styles>
</file>

<file path=word/webSettings.xml><?xml version="1.0" encoding="utf-8"?>
<w:webSettings xmlns:r="http://schemas.openxmlformats.org/officeDocument/2006/relationships" xmlns:w="http://schemas.openxmlformats.org/wordprocessingml/2006/main">
  <w:divs>
    <w:div w:id="120348039">
      <w:bodyDiv w:val="1"/>
      <w:marLeft w:val="0"/>
      <w:marRight w:val="0"/>
      <w:marTop w:val="0"/>
      <w:marBottom w:val="0"/>
      <w:divBdr>
        <w:top w:val="none" w:sz="0" w:space="0" w:color="auto"/>
        <w:left w:val="none" w:sz="0" w:space="0" w:color="auto"/>
        <w:bottom w:val="none" w:sz="0" w:space="0" w:color="auto"/>
        <w:right w:val="none" w:sz="0" w:space="0" w:color="auto"/>
      </w:divBdr>
    </w:div>
    <w:div w:id="331758818">
      <w:bodyDiv w:val="1"/>
      <w:marLeft w:val="0"/>
      <w:marRight w:val="0"/>
      <w:marTop w:val="0"/>
      <w:marBottom w:val="0"/>
      <w:divBdr>
        <w:top w:val="none" w:sz="0" w:space="0" w:color="auto"/>
        <w:left w:val="none" w:sz="0" w:space="0" w:color="auto"/>
        <w:bottom w:val="none" w:sz="0" w:space="0" w:color="auto"/>
        <w:right w:val="none" w:sz="0" w:space="0" w:color="auto"/>
      </w:divBdr>
    </w:div>
    <w:div w:id="748846117">
      <w:bodyDiv w:val="1"/>
      <w:marLeft w:val="0"/>
      <w:marRight w:val="0"/>
      <w:marTop w:val="0"/>
      <w:marBottom w:val="0"/>
      <w:divBdr>
        <w:top w:val="none" w:sz="0" w:space="0" w:color="auto"/>
        <w:left w:val="none" w:sz="0" w:space="0" w:color="auto"/>
        <w:bottom w:val="none" w:sz="0" w:space="0" w:color="auto"/>
        <w:right w:val="none" w:sz="0" w:space="0" w:color="auto"/>
      </w:divBdr>
    </w:div>
    <w:div w:id="1206064869">
      <w:bodyDiv w:val="1"/>
      <w:marLeft w:val="0"/>
      <w:marRight w:val="0"/>
      <w:marTop w:val="0"/>
      <w:marBottom w:val="0"/>
      <w:divBdr>
        <w:top w:val="none" w:sz="0" w:space="0" w:color="auto"/>
        <w:left w:val="none" w:sz="0" w:space="0" w:color="auto"/>
        <w:bottom w:val="none" w:sz="0" w:space="0" w:color="auto"/>
        <w:right w:val="none" w:sz="0" w:space="0" w:color="auto"/>
      </w:divBdr>
    </w:div>
    <w:div w:id="17349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vinosiva229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F:\VIII%20Trisem\Thesis%20writing\Data\Dat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VIII%20Trisem\Thesis%20writing\Data\Data.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200"/>
            </a:pPr>
            <a:r>
              <a:rPr lang="en-US" sz="1200"/>
              <a:t>Oil content (%)</a:t>
            </a:r>
          </a:p>
        </c:rich>
      </c:tx>
    </c:title>
    <c:plotArea>
      <c:layout/>
      <c:barChart>
        <c:barDir val="col"/>
        <c:grouping val="clustered"/>
        <c:ser>
          <c:idx val="0"/>
          <c:order val="0"/>
          <c:tx>
            <c:strRef>
              <c:f>'Rough work'!$R$18</c:f>
              <c:strCache>
                <c:ptCount val="1"/>
                <c:pt idx="0">
                  <c:v>Absolute Control</c:v>
                </c:pt>
              </c:strCache>
            </c:strRef>
          </c:tx>
          <c:cat>
            <c:multiLvlStrRef>
              <c:f>'Rough work'!$S$16:$V$17</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work'!$S$18:$V$18</c:f>
              <c:numCache>
                <c:formatCode>General</c:formatCode>
                <c:ptCount val="4"/>
                <c:pt idx="0">
                  <c:v>42.3</c:v>
                </c:pt>
                <c:pt idx="1">
                  <c:v>43.4</c:v>
                </c:pt>
                <c:pt idx="2">
                  <c:v>41.2</c:v>
                </c:pt>
                <c:pt idx="3">
                  <c:v>41.3</c:v>
                </c:pt>
              </c:numCache>
            </c:numRef>
          </c:val>
        </c:ser>
        <c:ser>
          <c:idx val="1"/>
          <c:order val="1"/>
          <c:tx>
            <c:strRef>
              <c:f>'Rough work'!$R$19</c:f>
              <c:strCache>
                <c:ptCount val="1"/>
                <c:pt idx="0">
                  <c:v>RDF alone</c:v>
                </c:pt>
              </c:strCache>
            </c:strRef>
          </c:tx>
          <c:cat>
            <c:multiLvlStrRef>
              <c:f>'Rough work'!$S$16:$V$17</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work'!$S$19:$V$19</c:f>
              <c:numCache>
                <c:formatCode>General</c:formatCode>
                <c:ptCount val="4"/>
                <c:pt idx="0">
                  <c:v>44.1</c:v>
                </c:pt>
                <c:pt idx="1">
                  <c:v>45.5</c:v>
                </c:pt>
                <c:pt idx="2">
                  <c:v>42.7</c:v>
                </c:pt>
                <c:pt idx="3">
                  <c:v>43.2</c:v>
                </c:pt>
              </c:numCache>
            </c:numRef>
          </c:val>
        </c:ser>
        <c:ser>
          <c:idx val="2"/>
          <c:order val="2"/>
          <c:tx>
            <c:strRef>
              <c:f>'Rough work'!$R$20</c:f>
              <c:strCache>
                <c:ptCount val="1"/>
                <c:pt idx="0">
                  <c:v>RDF+ S 20 kgha-1</c:v>
                </c:pt>
              </c:strCache>
            </c:strRef>
          </c:tx>
          <c:cat>
            <c:multiLvlStrRef>
              <c:f>'Rough work'!$S$16:$V$17</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work'!$S$20:$V$20</c:f>
              <c:numCache>
                <c:formatCode>General</c:formatCode>
                <c:ptCount val="4"/>
                <c:pt idx="0">
                  <c:v>46.2</c:v>
                </c:pt>
                <c:pt idx="1">
                  <c:v>47.5</c:v>
                </c:pt>
                <c:pt idx="2">
                  <c:v>44.8</c:v>
                </c:pt>
                <c:pt idx="3">
                  <c:v>45.9</c:v>
                </c:pt>
              </c:numCache>
            </c:numRef>
          </c:val>
        </c:ser>
        <c:ser>
          <c:idx val="3"/>
          <c:order val="3"/>
          <c:tx>
            <c:strRef>
              <c:f>'Rough work'!$R$21</c:f>
              <c:strCache>
                <c:ptCount val="1"/>
                <c:pt idx="0">
                  <c:v>RDF+ S 30 kgha-1</c:v>
                </c:pt>
              </c:strCache>
            </c:strRef>
          </c:tx>
          <c:cat>
            <c:multiLvlStrRef>
              <c:f>'Rough work'!$S$16:$V$17</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work'!$S$21:$V$21</c:f>
              <c:numCache>
                <c:formatCode>General</c:formatCode>
                <c:ptCount val="4"/>
                <c:pt idx="0">
                  <c:v>49.6</c:v>
                </c:pt>
                <c:pt idx="1">
                  <c:v>51.2</c:v>
                </c:pt>
                <c:pt idx="2">
                  <c:v>46.8</c:v>
                </c:pt>
                <c:pt idx="3">
                  <c:v>48.1</c:v>
                </c:pt>
              </c:numCache>
            </c:numRef>
          </c:val>
        </c:ser>
        <c:ser>
          <c:idx val="4"/>
          <c:order val="4"/>
          <c:tx>
            <c:strRef>
              <c:f>'Rough work'!$R$22</c:f>
              <c:strCache>
                <c:ptCount val="1"/>
                <c:pt idx="0">
                  <c:v>RDF+ S 40 kgha-1</c:v>
                </c:pt>
              </c:strCache>
            </c:strRef>
          </c:tx>
          <c:cat>
            <c:multiLvlStrRef>
              <c:f>'Rough work'!$S$16:$V$17</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work'!$S$22:$V$22</c:f>
              <c:numCache>
                <c:formatCode>General</c:formatCode>
                <c:ptCount val="4"/>
                <c:pt idx="0">
                  <c:v>49.7</c:v>
                </c:pt>
                <c:pt idx="1">
                  <c:v>51.6</c:v>
                </c:pt>
                <c:pt idx="2">
                  <c:v>47.8</c:v>
                </c:pt>
                <c:pt idx="3">
                  <c:v>50.2</c:v>
                </c:pt>
              </c:numCache>
            </c:numRef>
          </c:val>
        </c:ser>
        <c:ser>
          <c:idx val="5"/>
          <c:order val="5"/>
          <c:tx>
            <c:strRef>
              <c:f>'Rough work'!$R$23</c:f>
              <c:strCache>
                <c:ptCount val="1"/>
                <c:pt idx="0">
                  <c:v>RDF+ S 50 kgha-1</c:v>
                </c:pt>
              </c:strCache>
            </c:strRef>
          </c:tx>
          <c:cat>
            <c:multiLvlStrRef>
              <c:f>'Rough work'!$S$16:$V$17</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work'!$S$23:$V$23</c:f>
              <c:numCache>
                <c:formatCode>General</c:formatCode>
                <c:ptCount val="4"/>
                <c:pt idx="0">
                  <c:v>49.8</c:v>
                </c:pt>
                <c:pt idx="1">
                  <c:v>51.5</c:v>
                </c:pt>
                <c:pt idx="2">
                  <c:v>49.9</c:v>
                </c:pt>
                <c:pt idx="3">
                  <c:v>52.3</c:v>
                </c:pt>
              </c:numCache>
            </c:numRef>
          </c:val>
        </c:ser>
        <c:ser>
          <c:idx val="6"/>
          <c:order val="6"/>
          <c:tx>
            <c:strRef>
              <c:f>'Rough work'!$R$24</c:f>
              <c:strCache>
                <c:ptCount val="1"/>
                <c:pt idx="0">
                  <c:v>RDF+ S 60 kgha-1</c:v>
                </c:pt>
              </c:strCache>
            </c:strRef>
          </c:tx>
          <c:cat>
            <c:multiLvlStrRef>
              <c:f>'Rough work'!$S$16:$V$17</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work'!$S$24:$V$24</c:f>
              <c:numCache>
                <c:formatCode>General</c:formatCode>
                <c:ptCount val="4"/>
                <c:pt idx="0">
                  <c:v>49</c:v>
                </c:pt>
                <c:pt idx="1">
                  <c:v>50.2</c:v>
                </c:pt>
                <c:pt idx="2">
                  <c:v>48.9</c:v>
                </c:pt>
                <c:pt idx="3">
                  <c:v>50.1</c:v>
                </c:pt>
              </c:numCache>
            </c:numRef>
          </c:val>
        </c:ser>
        <c:axId val="39976960"/>
        <c:axId val="39978496"/>
      </c:barChart>
      <c:catAx>
        <c:axId val="39976960"/>
        <c:scaling>
          <c:orientation val="minMax"/>
        </c:scaling>
        <c:axPos val="b"/>
        <c:majorTickMark val="none"/>
        <c:tickLblPos val="nextTo"/>
        <c:crossAx val="39978496"/>
        <c:crosses val="autoZero"/>
        <c:auto val="1"/>
        <c:lblAlgn val="ctr"/>
        <c:lblOffset val="100"/>
      </c:catAx>
      <c:valAx>
        <c:axId val="39978496"/>
        <c:scaling>
          <c:orientation val="minMax"/>
        </c:scaling>
        <c:axPos val="l"/>
        <c:majorGridlines/>
        <c:numFmt formatCode="General" sourceLinked="1"/>
        <c:majorTickMark val="none"/>
        <c:tickLblPos val="nextTo"/>
        <c:crossAx val="39976960"/>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200"/>
            </a:pPr>
            <a:r>
              <a:rPr lang="en-US" sz="1200"/>
              <a:t>Biological yield (kg</a:t>
            </a:r>
            <a:r>
              <a:rPr lang="en-US" sz="1200" baseline="0"/>
              <a:t>ha</a:t>
            </a:r>
            <a:r>
              <a:rPr lang="en-US" sz="1200" baseline="30000"/>
              <a:t>-1</a:t>
            </a:r>
            <a:r>
              <a:rPr lang="en-US" sz="1200" baseline="0"/>
              <a:t> )</a:t>
            </a:r>
            <a:endParaRPr lang="en-US" sz="1200"/>
          </a:p>
        </c:rich>
      </c:tx>
    </c:title>
    <c:plotArea>
      <c:layout/>
      <c:barChart>
        <c:barDir val="col"/>
        <c:grouping val="clustered"/>
        <c:ser>
          <c:idx val="0"/>
          <c:order val="0"/>
          <c:tx>
            <c:strRef>
              <c:f>'Rough work'!$X$5</c:f>
              <c:strCache>
                <c:ptCount val="1"/>
                <c:pt idx="0">
                  <c:v>Absolute Control</c:v>
                </c:pt>
              </c:strCache>
            </c:strRef>
          </c:tx>
          <c:cat>
            <c:multiLvlStrRef>
              <c:f>'Rough work'!$Y$3:$AB$4</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work'!$Y$5:$AB$5</c:f>
              <c:numCache>
                <c:formatCode>General</c:formatCode>
                <c:ptCount val="4"/>
                <c:pt idx="0">
                  <c:v>3686</c:v>
                </c:pt>
                <c:pt idx="1">
                  <c:v>3547</c:v>
                </c:pt>
                <c:pt idx="2">
                  <c:v>3613</c:v>
                </c:pt>
                <c:pt idx="3">
                  <c:v>3504</c:v>
                </c:pt>
              </c:numCache>
            </c:numRef>
          </c:val>
        </c:ser>
        <c:ser>
          <c:idx val="1"/>
          <c:order val="1"/>
          <c:tx>
            <c:strRef>
              <c:f>'Rough work'!$X$6</c:f>
              <c:strCache>
                <c:ptCount val="1"/>
                <c:pt idx="0">
                  <c:v>RDF alone</c:v>
                </c:pt>
              </c:strCache>
            </c:strRef>
          </c:tx>
          <c:cat>
            <c:multiLvlStrRef>
              <c:f>'Rough work'!$Y$3:$AB$4</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work'!$Y$6:$AB$6</c:f>
              <c:numCache>
                <c:formatCode>General</c:formatCode>
                <c:ptCount val="4"/>
                <c:pt idx="0">
                  <c:v>3790</c:v>
                </c:pt>
                <c:pt idx="1">
                  <c:v>3640</c:v>
                </c:pt>
                <c:pt idx="2">
                  <c:v>3765</c:v>
                </c:pt>
                <c:pt idx="3">
                  <c:v>3607</c:v>
                </c:pt>
              </c:numCache>
            </c:numRef>
          </c:val>
        </c:ser>
        <c:ser>
          <c:idx val="2"/>
          <c:order val="2"/>
          <c:tx>
            <c:strRef>
              <c:f>'Rough work'!$X$7</c:f>
              <c:strCache>
                <c:ptCount val="1"/>
                <c:pt idx="0">
                  <c:v>RDF+ S 20 kgha-1</c:v>
                </c:pt>
              </c:strCache>
            </c:strRef>
          </c:tx>
          <c:cat>
            <c:multiLvlStrRef>
              <c:f>'Rough work'!$Y$3:$AB$4</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work'!$Y$7:$AB$7</c:f>
              <c:numCache>
                <c:formatCode>General</c:formatCode>
                <c:ptCount val="4"/>
                <c:pt idx="0">
                  <c:v>3887</c:v>
                </c:pt>
                <c:pt idx="1">
                  <c:v>3768</c:v>
                </c:pt>
                <c:pt idx="2">
                  <c:v>3866</c:v>
                </c:pt>
                <c:pt idx="3">
                  <c:v>3704</c:v>
                </c:pt>
              </c:numCache>
            </c:numRef>
          </c:val>
        </c:ser>
        <c:ser>
          <c:idx val="3"/>
          <c:order val="3"/>
          <c:tx>
            <c:strRef>
              <c:f>'Rough work'!$X$8</c:f>
              <c:strCache>
                <c:ptCount val="1"/>
                <c:pt idx="0">
                  <c:v>RDF+ S 30 kgha-1</c:v>
                </c:pt>
              </c:strCache>
            </c:strRef>
          </c:tx>
          <c:cat>
            <c:multiLvlStrRef>
              <c:f>'Rough work'!$Y$3:$AB$4</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work'!$Y$8:$AB$8</c:f>
              <c:numCache>
                <c:formatCode>General</c:formatCode>
                <c:ptCount val="4"/>
                <c:pt idx="0">
                  <c:v>3999</c:v>
                </c:pt>
                <c:pt idx="1">
                  <c:v>3877</c:v>
                </c:pt>
                <c:pt idx="2">
                  <c:v>3959</c:v>
                </c:pt>
                <c:pt idx="3">
                  <c:v>3799</c:v>
                </c:pt>
              </c:numCache>
            </c:numRef>
          </c:val>
        </c:ser>
        <c:ser>
          <c:idx val="4"/>
          <c:order val="4"/>
          <c:tx>
            <c:strRef>
              <c:f>'Rough work'!$X$9</c:f>
              <c:strCache>
                <c:ptCount val="1"/>
                <c:pt idx="0">
                  <c:v>RDF+ S 40 kgha-1</c:v>
                </c:pt>
              </c:strCache>
            </c:strRef>
          </c:tx>
          <c:cat>
            <c:multiLvlStrRef>
              <c:f>'Rough work'!$Y$3:$AB$4</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work'!$Y$9:$AB$9</c:f>
              <c:numCache>
                <c:formatCode>General</c:formatCode>
                <c:ptCount val="4"/>
                <c:pt idx="0">
                  <c:v>4042</c:v>
                </c:pt>
                <c:pt idx="1">
                  <c:v>3917</c:v>
                </c:pt>
                <c:pt idx="2">
                  <c:v>4039</c:v>
                </c:pt>
                <c:pt idx="3">
                  <c:v>3892</c:v>
                </c:pt>
              </c:numCache>
            </c:numRef>
          </c:val>
        </c:ser>
        <c:ser>
          <c:idx val="5"/>
          <c:order val="5"/>
          <c:tx>
            <c:strRef>
              <c:f>'Rough work'!$X$10</c:f>
              <c:strCache>
                <c:ptCount val="1"/>
                <c:pt idx="0">
                  <c:v>RDF+ S 50 kgha-1</c:v>
                </c:pt>
              </c:strCache>
            </c:strRef>
          </c:tx>
          <c:cat>
            <c:multiLvlStrRef>
              <c:f>'Rough work'!$Y$3:$AB$4</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work'!$Y$10:$AB$10</c:f>
              <c:numCache>
                <c:formatCode>General</c:formatCode>
                <c:ptCount val="4"/>
                <c:pt idx="0">
                  <c:v>4093</c:v>
                </c:pt>
                <c:pt idx="1">
                  <c:v>3961</c:v>
                </c:pt>
                <c:pt idx="2">
                  <c:v>4134</c:v>
                </c:pt>
                <c:pt idx="3">
                  <c:v>3980</c:v>
                </c:pt>
              </c:numCache>
            </c:numRef>
          </c:val>
        </c:ser>
        <c:ser>
          <c:idx val="6"/>
          <c:order val="6"/>
          <c:tx>
            <c:strRef>
              <c:f>'Rough work'!$X$11</c:f>
              <c:strCache>
                <c:ptCount val="1"/>
                <c:pt idx="0">
                  <c:v>RDF+ S 60 kgha-1</c:v>
                </c:pt>
              </c:strCache>
            </c:strRef>
          </c:tx>
          <c:cat>
            <c:multiLvlStrRef>
              <c:f>'Rough work'!$Y$3:$AB$4</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work'!$Y$11:$AB$11</c:f>
              <c:numCache>
                <c:formatCode>General</c:formatCode>
                <c:ptCount val="4"/>
                <c:pt idx="0">
                  <c:v>4044</c:v>
                </c:pt>
                <c:pt idx="1">
                  <c:v>3918</c:v>
                </c:pt>
                <c:pt idx="2">
                  <c:v>4090</c:v>
                </c:pt>
                <c:pt idx="3">
                  <c:v>3955</c:v>
                </c:pt>
              </c:numCache>
            </c:numRef>
          </c:val>
        </c:ser>
        <c:ser>
          <c:idx val="7"/>
          <c:order val="7"/>
          <c:tx>
            <c:strRef>
              <c:f>'Rough work'!$X$12</c:f>
              <c:strCache>
                <c:ptCount val="1"/>
                <c:pt idx="0">
                  <c:v>Mean</c:v>
                </c:pt>
              </c:strCache>
            </c:strRef>
          </c:tx>
          <c:cat>
            <c:multiLvlStrRef>
              <c:f>'Rough work'!$Y$3:$AB$4</c:f>
              <c:multiLvlStrCache>
                <c:ptCount val="4"/>
                <c:lvl>
                  <c:pt idx="0">
                    <c:v>TMV 7</c:v>
                  </c:pt>
                  <c:pt idx="1">
                    <c:v>SVPR 1</c:v>
                  </c:pt>
                  <c:pt idx="2">
                    <c:v>TMV 7</c:v>
                  </c:pt>
                  <c:pt idx="3">
                    <c:v>SVPR 1</c:v>
                  </c:pt>
                </c:lvl>
                <c:lvl>
                  <c:pt idx="0">
                    <c:v>S - Sufficient soil</c:v>
                  </c:pt>
                  <c:pt idx="2">
                    <c:v>S - Deficient soil</c:v>
                  </c:pt>
                </c:lvl>
              </c:multiLvlStrCache>
            </c:multiLvlStrRef>
          </c:cat>
          <c:val>
            <c:numRef>
              <c:f>'Rough work'!$Y$12:$AB$12</c:f>
              <c:numCache>
                <c:formatCode>General</c:formatCode>
                <c:ptCount val="4"/>
                <c:pt idx="0">
                  <c:v>3934</c:v>
                </c:pt>
                <c:pt idx="1">
                  <c:v>3804</c:v>
                </c:pt>
                <c:pt idx="2">
                  <c:v>3924</c:v>
                </c:pt>
                <c:pt idx="3">
                  <c:v>3777</c:v>
                </c:pt>
              </c:numCache>
            </c:numRef>
          </c:val>
        </c:ser>
        <c:axId val="70223744"/>
        <c:axId val="70225280"/>
      </c:barChart>
      <c:catAx>
        <c:axId val="70223744"/>
        <c:scaling>
          <c:orientation val="minMax"/>
        </c:scaling>
        <c:axPos val="b"/>
        <c:majorTickMark val="none"/>
        <c:tickLblPos val="nextTo"/>
        <c:crossAx val="70225280"/>
        <c:crosses val="autoZero"/>
        <c:auto val="1"/>
        <c:lblAlgn val="ctr"/>
        <c:lblOffset val="100"/>
      </c:catAx>
      <c:valAx>
        <c:axId val="70225280"/>
        <c:scaling>
          <c:orientation val="minMax"/>
        </c:scaling>
        <c:axPos val="l"/>
        <c:majorGridlines/>
        <c:numFmt formatCode="General" sourceLinked="1"/>
        <c:majorTickMark val="none"/>
        <c:tickLblPos val="nextTo"/>
        <c:crossAx val="70223744"/>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07C36-303D-4C30-89C5-BA2C4B73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15882</CharactersWithSpaces>
  <SharedDoc>false</SharedDoc>
  <HLinks>
    <vt:vector size="6" baseType="variant">
      <vt:variant>
        <vt:i4>7405642</vt:i4>
      </vt:variant>
      <vt:variant>
        <vt:i4>0</vt:i4>
      </vt:variant>
      <vt:variant>
        <vt:i4>0</vt:i4>
      </vt:variant>
      <vt:variant>
        <vt:i4>5</vt:i4>
      </vt:variant>
      <vt:variant>
        <vt:lpwstr>mailto:vinosiva2295@gmail.com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cp:revision>
  <cp:lastPrinted>2019-05-13T06:58:00Z</cp:lastPrinted>
  <dcterms:created xsi:type="dcterms:W3CDTF">2021-01-26T02:04:00Z</dcterms:created>
  <dcterms:modified xsi:type="dcterms:W3CDTF">2021-01-26T02:24:00Z</dcterms:modified>
</cp:coreProperties>
</file>